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554" w:rsidRDefault="00785554" w:rsidP="00785554">
      <w:pPr>
        <w:tabs>
          <w:tab w:val="left" w:pos="567"/>
        </w:tabs>
        <w:spacing w:line="360" w:lineRule="auto"/>
        <w:rPr>
          <w:b/>
          <w:sz w:val="24"/>
        </w:rPr>
      </w:pPr>
      <w:bookmarkStart w:id="0" w:name="_GoBack"/>
      <w:bookmarkEnd w:id="0"/>
    </w:p>
    <w:p w:rsidR="00785554" w:rsidRPr="00F21DF0" w:rsidRDefault="00785554" w:rsidP="00785554">
      <w:pPr>
        <w:pStyle w:val="Nadpis1"/>
        <w:tabs>
          <w:tab w:val="clear" w:pos="1418"/>
          <w:tab w:val="left" w:pos="56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B</w:t>
      </w:r>
      <w:r w:rsidRPr="00F21DF0">
        <w:rPr>
          <w:sz w:val="28"/>
          <w:szCs w:val="28"/>
        </w:rPr>
        <w:t xml:space="preserve">. </w:t>
      </w:r>
      <w:r w:rsidRPr="00F21DF0">
        <w:rPr>
          <w:sz w:val="28"/>
          <w:szCs w:val="28"/>
        </w:rPr>
        <w:tab/>
      </w:r>
      <w:r>
        <w:rPr>
          <w:sz w:val="28"/>
          <w:szCs w:val="28"/>
        </w:rPr>
        <w:t>SOUHRNNÁ</w:t>
      </w:r>
      <w:r w:rsidRPr="00F21DF0">
        <w:rPr>
          <w:caps/>
          <w:sz w:val="28"/>
          <w:szCs w:val="28"/>
        </w:rPr>
        <w:t xml:space="preserve"> technická zpráva</w:t>
      </w:r>
    </w:p>
    <w:p w:rsidR="00785554" w:rsidRDefault="00785554" w:rsidP="00785554">
      <w:pPr>
        <w:tabs>
          <w:tab w:val="left" w:pos="567"/>
        </w:tabs>
        <w:spacing w:line="360" w:lineRule="auto"/>
        <w:rPr>
          <w:b/>
          <w:sz w:val="24"/>
        </w:rPr>
      </w:pPr>
    </w:p>
    <w:p w:rsidR="00184727" w:rsidRDefault="00184727">
      <w:pPr>
        <w:tabs>
          <w:tab w:val="left" w:pos="567"/>
        </w:tabs>
        <w:spacing w:line="360" w:lineRule="auto"/>
        <w:rPr>
          <w:b/>
          <w:sz w:val="24"/>
        </w:rPr>
      </w:pPr>
      <w:r>
        <w:rPr>
          <w:b/>
          <w:sz w:val="24"/>
        </w:rPr>
        <w:t>O b s a h:</w:t>
      </w:r>
    </w:p>
    <w:p w:rsidR="00864950" w:rsidRDefault="00864950" w:rsidP="00864950">
      <w:pPr>
        <w:autoSpaceDE w:val="0"/>
        <w:autoSpaceDN w:val="0"/>
        <w:adjustRightInd w:val="0"/>
        <w:rPr>
          <w:sz w:val="24"/>
          <w:szCs w:val="24"/>
        </w:rPr>
      </w:pP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Urbanistické, architektonické a stavebně technické řešení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Mechanická odolnost a stabilita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Požární bezpečnost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Hygiena, ochrana zdraví a životního prostředí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Bezpečnost při užívání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Ochrana proti hluku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Úspora energie, spotřeba plynu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Řešení přístupu a užívání stavby osobami s omezenou schopností pohybu a</w:t>
      </w:r>
      <w:r>
        <w:rPr>
          <w:sz w:val="24"/>
        </w:rPr>
        <w:t xml:space="preserve"> </w:t>
      </w:r>
      <w:r w:rsidRPr="00864950">
        <w:rPr>
          <w:sz w:val="24"/>
        </w:rPr>
        <w:t>orientace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Ochrana stavby před škodlivými vlivy vnějšího prostředí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Ochrana obyvatelstva</w:t>
      </w:r>
    </w:p>
    <w:p w:rsidR="00864950" w:rsidRPr="00864950" w:rsidRDefault="00864950" w:rsidP="00864950">
      <w:pPr>
        <w:numPr>
          <w:ilvl w:val="0"/>
          <w:numId w:val="31"/>
        </w:numPr>
        <w:spacing w:line="360" w:lineRule="auto"/>
        <w:rPr>
          <w:sz w:val="24"/>
        </w:rPr>
      </w:pPr>
      <w:r w:rsidRPr="00864950">
        <w:rPr>
          <w:sz w:val="24"/>
        </w:rPr>
        <w:t>Inženýrské stavby</w:t>
      </w:r>
    </w:p>
    <w:p w:rsidR="00184727" w:rsidRPr="00D324C5" w:rsidRDefault="00864950" w:rsidP="00864950">
      <w:pPr>
        <w:numPr>
          <w:ilvl w:val="0"/>
          <w:numId w:val="31"/>
        </w:numPr>
        <w:spacing w:line="360" w:lineRule="auto"/>
        <w:rPr>
          <w:b/>
          <w:sz w:val="24"/>
        </w:rPr>
      </w:pPr>
      <w:r w:rsidRPr="00864950">
        <w:rPr>
          <w:sz w:val="24"/>
        </w:rPr>
        <w:t>Výrobní a nevýrobní technologická zařízení staveb</w:t>
      </w:r>
    </w:p>
    <w:p w:rsidR="00D324C5" w:rsidRDefault="00D324C5" w:rsidP="00D324C5">
      <w:pPr>
        <w:numPr>
          <w:ilvl w:val="0"/>
          <w:numId w:val="31"/>
        </w:numPr>
        <w:spacing w:line="360" w:lineRule="auto"/>
        <w:rPr>
          <w:sz w:val="24"/>
        </w:rPr>
      </w:pPr>
      <w:r>
        <w:rPr>
          <w:sz w:val="24"/>
        </w:rPr>
        <w:t>Požadavky na následné stupně projektové dokumentace</w:t>
      </w:r>
    </w:p>
    <w:p w:rsidR="00D324C5" w:rsidRDefault="00D324C5" w:rsidP="00D324C5">
      <w:pPr>
        <w:numPr>
          <w:ilvl w:val="0"/>
          <w:numId w:val="31"/>
        </w:numPr>
        <w:spacing w:line="360" w:lineRule="auto"/>
        <w:rPr>
          <w:sz w:val="24"/>
        </w:rPr>
      </w:pPr>
      <w:r>
        <w:rPr>
          <w:sz w:val="24"/>
        </w:rPr>
        <w:t>Závěr</w:t>
      </w:r>
    </w:p>
    <w:p w:rsidR="00D324C5" w:rsidRPr="00864950" w:rsidRDefault="00D324C5" w:rsidP="00D324C5">
      <w:pPr>
        <w:spacing w:line="360" w:lineRule="auto"/>
        <w:ind w:left="1068"/>
        <w:rPr>
          <w:b/>
          <w:sz w:val="24"/>
        </w:rPr>
      </w:pPr>
    </w:p>
    <w:p w:rsidR="00E57D88" w:rsidRDefault="00E57D88" w:rsidP="00864950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E57D88" w:rsidRDefault="00E57D88">
      <w:pPr>
        <w:tabs>
          <w:tab w:val="left" w:pos="567"/>
        </w:tabs>
        <w:spacing w:line="360" w:lineRule="auto"/>
        <w:rPr>
          <w:b/>
          <w:sz w:val="24"/>
        </w:rPr>
      </w:pPr>
    </w:p>
    <w:p w:rsidR="009114AF" w:rsidRDefault="009114AF" w:rsidP="00864950">
      <w:pPr>
        <w:autoSpaceDE w:val="0"/>
        <w:autoSpaceDN w:val="0"/>
        <w:adjustRightInd w:val="0"/>
        <w:rPr>
          <w:b/>
          <w:bCs/>
          <w:sz w:val="28"/>
          <w:szCs w:val="22"/>
        </w:rPr>
      </w:pPr>
    </w:p>
    <w:p w:rsidR="00864950" w:rsidRPr="00C77570" w:rsidRDefault="00864950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1. Urbanistické, architektonické a stavebně technické řešení</w:t>
      </w:r>
    </w:p>
    <w:p w:rsidR="00864950" w:rsidRPr="00C77570" w:rsidRDefault="00864950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864950" w:rsidRPr="00C77570" w:rsidRDefault="00864950" w:rsidP="00C77570">
      <w:pPr>
        <w:autoSpaceDE w:val="0"/>
        <w:autoSpaceDN w:val="0"/>
        <w:adjustRightInd w:val="0"/>
        <w:spacing w:line="260" w:lineRule="exact"/>
        <w:ind w:left="567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a – Zhodnocení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staveniště</w:t>
      </w:r>
    </w:p>
    <w:p w:rsidR="00864950" w:rsidRPr="00C77570" w:rsidRDefault="00864950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9114AF" w:rsidRPr="00C77570" w:rsidRDefault="00864950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Předmětem projektu pro </w:t>
      </w:r>
      <w:r w:rsidR="009114AF" w:rsidRPr="00C77570">
        <w:rPr>
          <w:sz w:val="24"/>
          <w:szCs w:val="24"/>
        </w:rPr>
        <w:t>prov</w:t>
      </w:r>
      <w:r w:rsidR="009D0226" w:rsidRPr="00C77570">
        <w:rPr>
          <w:sz w:val="24"/>
          <w:szCs w:val="24"/>
        </w:rPr>
        <w:t>ádění</w:t>
      </w:r>
      <w:r w:rsidR="009114AF" w:rsidRPr="00C77570">
        <w:rPr>
          <w:sz w:val="24"/>
          <w:szCs w:val="24"/>
        </w:rPr>
        <w:t xml:space="preserve"> stavby je </w:t>
      </w:r>
      <w:r w:rsidR="004E6AC9">
        <w:rPr>
          <w:sz w:val="24"/>
          <w:szCs w:val="24"/>
        </w:rPr>
        <w:t>modernizace</w:t>
      </w:r>
      <w:r w:rsidR="009114AF" w:rsidRPr="00C77570">
        <w:rPr>
          <w:sz w:val="24"/>
          <w:szCs w:val="24"/>
        </w:rPr>
        <w:t xml:space="preserve"> stávající plynové kotelny v objektu </w:t>
      </w:r>
      <w:r w:rsidR="009D0226" w:rsidRPr="00C77570">
        <w:rPr>
          <w:sz w:val="24"/>
          <w:szCs w:val="24"/>
        </w:rPr>
        <w:t>Křižíkova 552/2</w:t>
      </w:r>
      <w:r w:rsidRPr="00C77570">
        <w:rPr>
          <w:sz w:val="24"/>
          <w:szCs w:val="24"/>
        </w:rPr>
        <w:t xml:space="preserve"> v</w:t>
      </w:r>
      <w:r w:rsidR="009114AF" w:rsidRPr="00C77570">
        <w:rPr>
          <w:sz w:val="24"/>
          <w:szCs w:val="24"/>
        </w:rPr>
        <w:t> </w:t>
      </w:r>
      <w:r w:rsidR="009D0226" w:rsidRPr="00C77570">
        <w:rPr>
          <w:sz w:val="24"/>
          <w:szCs w:val="24"/>
        </w:rPr>
        <w:t>Praze</w:t>
      </w:r>
      <w:r w:rsidRPr="00C77570">
        <w:rPr>
          <w:sz w:val="24"/>
          <w:szCs w:val="24"/>
        </w:rPr>
        <w:t xml:space="preserve">. </w:t>
      </w:r>
      <w:r w:rsidR="009D0226" w:rsidRPr="00C77570">
        <w:rPr>
          <w:sz w:val="24"/>
          <w:szCs w:val="24"/>
        </w:rPr>
        <w:t>V s</w:t>
      </w:r>
      <w:r w:rsidRPr="00C77570">
        <w:rPr>
          <w:sz w:val="24"/>
          <w:szCs w:val="24"/>
        </w:rPr>
        <w:t xml:space="preserve">oučasné době je objekt vytápěn </w:t>
      </w:r>
      <w:r w:rsidR="009114AF" w:rsidRPr="00C77570">
        <w:rPr>
          <w:sz w:val="24"/>
          <w:szCs w:val="24"/>
        </w:rPr>
        <w:t xml:space="preserve">třemi teplovodními plynovými kotli – každý o výkonu </w:t>
      </w:r>
      <w:r w:rsidR="009D0226" w:rsidRPr="00C77570">
        <w:rPr>
          <w:sz w:val="24"/>
          <w:szCs w:val="24"/>
        </w:rPr>
        <w:t>225</w:t>
      </w:r>
      <w:r w:rsidR="009114AF" w:rsidRPr="00C77570">
        <w:rPr>
          <w:sz w:val="24"/>
          <w:szCs w:val="24"/>
        </w:rPr>
        <w:t xml:space="preserve"> kW</w:t>
      </w:r>
      <w:r w:rsidRPr="00C77570">
        <w:rPr>
          <w:sz w:val="24"/>
          <w:szCs w:val="24"/>
        </w:rPr>
        <w:t>.</w:t>
      </w:r>
      <w:r w:rsidR="009114AF" w:rsidRPr="00C77570">
        <w:rPr>
          <w:sz w:val="24"/>
          <w:szCs w:val="24"/>
        </w:rPr>
        <w:t xml:space="preserve"> Příprava TV je </w:t>
      </w:r>
      <w:r w:rsidR="009D0226" w:rsidRPr="00C77570">
        <w:rPr>
          <w:sz w:val="24"/>
          <w:szCs w:val="24"/>
        </w:rPr>
        <w:t xml:space="preserve">řešena v zásobníkovém ohřívači o objemu 400 litrů, ohřev zajišťuje el. </w:t>
      </w:r>
      <w:proofErr w:type="gramStart"/>
      <w:r w:rsidR="009D0226" w:rsidRPr="00C77570">
        <w:rPr>
          <w:sz w:val="24"/>
          <w:szCs w:val="24"/>
        </w:rPr>
        <w:t>topná</w:t>
      </w:r>
      <w:proofErr w:type="gramEnd"/>
      <w:r w:rsidR="009D0226" w:rsidRPr="00C77570">
        <w:rPr>
          <w:sz w:val="24"/>
          <w:szCs w:val="24"/>
        </w:rPr>
        <w:t xml:space="preserve"> vložka o příkonu 6 kW</w:t>
      </w:r>
      <w:r w:rsidR="009114AF" w:rsidRPr="00C77570">
        <w:rPr>
          <w:sz w:val="24"/>
          <w:szCs w:val="24"/>
        </w:rPr>
        <w:t xml:space="preserve">. </w:t>
      </w:r>
      <w:r w:rsidRPr="00C77570">
        <w:rPr>
          <w:sz w:val="24"/>
          <w:szCs w:val="24"/>
        </w:rPr>
        <w:t xml:space="preserve"> </w:t>
      </w:r>
    </w:p>
    <w:p w:rsidR="00517C1E" w:rsidRPr="00C77570" w:rsidRDefault="009D0226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Stávající plynová kotelna (místnost č. 123) </w:t>
      </w:r>
      <w:r w:rsidR="00517C1E" w:rsidRPr="00C77570">
        <w:rPr>
          <w:sz w:val="24"/>
          <w:szCs w:val="24"/>
        </w:rPr>
        <w:t>s</w:t>
      </w:r>
      <w:r w:rsidR="00864950" w:rsidRPr="00C77570">
        <w:rPr>
          <w:sz w:val="24"/>
          <w:szCs w:val="24"/>
        </w:rPr>
        <w:t xml:space="preserve">e </w:t>
      </w:r>
      <w:r w:rsidR="00517C1E" w:rsidRPr="00C77570">
        <w:rPr>
          <w:sz w:val="24"/>
          <w:szCs w:val="24"/>
        </w:rPr>
        <w:t xml:space="preserve">nachází </w:t>
      </w:r>
      <w:r w:rsidRPr="00C77570">
        <w:rPr>
          <w:sz w:val="24"/>
          <w:szCs w:val="24"/>
        </w:rPr>
        <w:t>v suterénu objektu.</w:t>
      </w:r>
      <w:r w:rsidR="00517C1E" w:rsidRPr="00C77570">
        <w:rPr>
          <w:sz w:val="24"/>
          <w:szCs w:val="24"/>
        </w:rPr>
        <w:t xml:space="preserve"> V plynové kotelně jsou umístěné 3</w:t>
      </w:r>
      <w:r w:rsidR="00F358ED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plynové nízkoteplotní</w:t>
      </w:r>
      <w:r w:rsidR="00517C1E" w:rsidRPr="00C77570">
        <w:rPr>
          <w:sz w:val="24"/>
          <w:szCs w:val="24"/>
        </w:rPr>
        <w:t xml:space="preserve"> kotle</w:t>
      </w:r>
      <w:r w:rsidRPr="00C77570">
        <w:rPr>
          <w:sz w:val="24"/>
          <w:szCs w:val="24"/>
        </w:rPr>
        <w:t>, rozdělovač - sběrač DN200</w:t>
      </w:r>
      <w:r w:rsidR="00F358ED" w:rsidRPr="00C77570">
        <w:rPr>
          <w:sz w:val="24"/>
          <w:szCs w:val="24"/>
        </w:rPr>
        <w:t xml:space="preserve"> se čtyřmi okruhy vytápění, </w:t>
      </w:r>
      <w:r w:rsidRPr="00C77570">
        <w:rPr>
          <w:sz w:val="24"/>
          <w:szCs w:val="24"/>
        </w:rPr>
        <w:t xml:space="preserve">zásobníkový ohřívač </w:t>
      </w:r>
      <w:r w:rsidR="00F358ED" w:rsidRPr="00C77570">
        <w:rPr>
          <w:sz w:val="24"/>
          <w:szCs w:val="24"/>
        </w:rPr>
        <w:t xml:space="preserve">teplé vody </w:t>
      </w:r>
      <w:r w:rsidRPr="00C77570">
        <w:rPr>
          <w:sz w:val="24"/>
          <w:szCs w:val="24"/>
        </w:rPr>
        <w:t>o objemu 400 litrů</w:t>
      </w:r>
      <w:r w:rsidR="00F358ED" w:rsidRPr="00C77570">
        <w:rPr>
          <w:sz w:val="24"/>
          <w:szCs w:val="24"/>
        </w:rPr>
        <w:t>, 3 membránové expanzní nádoby, armatury a propojovací izolovaná potrubí.</w:t>
      </w:r>
      <w:r w:rsidR="00517C1E" w:rsidRPr="00C77570">
        <w:rPr>
          <w:sz w:val="24"/>
          <w:szCs w:val="24"/>
        </w:rPr>
        <w:t xml:space="preserve">    </w:t>
      </w:r>
    </w:p>
    <w:p w:rsidR="00864950" w:rsidRPr="00C77570" w:rsidRDefault="00864950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Veškeré rozvody vytápění</w:t>
      </w:r>
      <w:r w:rsidR="00F358ED" w:rsidRPr="00C77570">
        <w:rPr>
          <w:sz w:val="24"/>
          <w:szCs w:val="24"/>
        </w:rPr>
        <w:t xml:space="preserve"> (ÚT), teplé vody (TV) a cirkulace</w:t>
      </w:r>
      <w:r w:rsidRPr="00C77570">
        <w:rPr>
          <w:sz w:val="24"/>
          <w:szCs w:val="24"/>
        </w:rPr>
        <w:t xml:space="preserve"> </w:t>
      </w:r>
      <w:r w:rsidR="00F358ED" w:rsidRPr="00C77570">
        <w:rPr>
          <w:sz w:val="24"/>
          <w:szCs w:val="24"/>
        </w:rPr>
        <w:t xml:space="preserve">(C) v celém </w:t>
      </w:r>
      <w:r w:rsidRPr="00C77570">
        <w:rPr>
          <w:sz w:val="24"/>
          <w:szCs w:val="24"/>
        </w:rPr>
        <w:t xml:space="preserve">objektu budou ponechány stávající. </w:t>
      </w:r>
      <w:r w:rsidR="00517C1E" w:rsidRPr="00C77570">
        <w:rPr>
          <w:sz w:val="24"/>
          <w:szCs w:val="24"/>
        </w:rPr>
        <w:t>Pouze v</w:t>
      </w:r>
      <w:r w:rsidR="00F358ED" w:rsidRPr="00C77570">
        <w:rPr>
          <w:sz w:val="24"/>
          <w:szCs w:val="24"/>
        </w:rPr>
        <w:t xml:space="preserve"> plynové </w:t>
      </w:r>
      <w:r w:rsidR="00517C1E" w:rsidRPr="00C77570">
        <w:rPr>
          <w:sz w:val="24"/>
          <w:szCs w:val="24"/>
        </w:rPr>
        <w:t xml:space="preserve">kotelně budou </w:t>
      </w:r>
      <w:r w:rsidR="00F358ED" w:rsidRPr="00C77570">
        <w:rPr>
          <w:sz w:val="24"/>
          <w:szCs w:val="24"/>
        </w:rPr>
        <w:t>čtyři okruhy</w:t>
      </w:r>
      <w:r w:rsidR="00517C1E" w:rsidRPr="00C77570">
        <w:rPr>
          <w:sz w:val="24"/>
          <w:szCs w:val="24"/>
        </w:rPr>
        <w:t xml:space="preserve"> ÚT přepojeny na nový rozdělovač </w:t>
      </w:r>
      <w:r w:rsidR="00F358ED" w:rsidRPr="00C77570">
        <w:rPr>
          <w:sz w:val="24"/>
          <w:szCs w:val="24"/>
        </w:rPr>
        <w:t>-</w:t>
      </w:r>
      <w:r w:rsidR="00517C1E" w:rsidRPr="00C77570">
        <w:rPr>
          <w:sz w:val="24"/>
          <w:szCs w:val="24"/>
        </w:rPr>
        <w:t xml:space="preserve"> sběrač a </w:t>
      </w:r>
      <w:r w:rsidR="00F358ED" w:rsidRPr="00C77570">
        <w:rPr>
          <w:sz w:val="24"/>
          <w:szCs w:val="24"/>
        </w:rPr>
        <w:t>okruh TV a C na nový zásobník teplé vody</w:t>
      </w:r>
      <w:r w:rsidR="00517C1E" w:rsidRPr="00C77570">
        <w:rPr>
          <w:sz w:val="24"/>
          <w:szCs w:val="24"/>
        </w:rPr>
        <w:t xml:space="preserve">. </w:t>
      </w:r>
      <w:r w:rsidRPr="00C77570">
        <w:rPr>
          <w:sz w:val="24"/>
          <w:szCs w:val="24"/>
        </w:rPr>
        <w:t xml:space="preserve">Zdrojem topné vody pro vytápění budou dva nové stacionární kompaktní plynové kondenzační kotle, které budou vybaveny </w:t>
      </w:r>
      <w:r w:rsidR="00F358ED" w:rsidRPr="00C77570">
        <w:rPr>
          <w:sz w:val="24"/>
          <w:szCs w:val="24"/>
        </w:rPr>
        <w:t xml:space="preserve">válcovým hořákem Matrix s regulací spalování Lambda Pro </w:t>
      </w:r>
      <w:proofErr w:type="spellStart"/>
      <w:r w:rsidR="00F358ED" w:rsidRPr="00C77570">
        <w:rPr>
          <w:sz w:val="24"/>
          <w:szCs w:val="24"/>
        </w:rPr>
        <w:t>Control</w:t>
      </w:r>
      <w:proofErr w:type="spellEnd"/>
      <w:r w:rsidR="00F358ED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s nízkými emisemi N</w:t>
      </w:r>
      <w:r w:rsidR="00F358ED" w:rsidRPr="00C77570">
        <w:rPr>
          <w:sz w:val="24"/>
          <w:szCs w:val="24"/>
        </w:rPr>
        <w:t>o</w:t>
      </w:r>
      <w:r w:rsidRPr="00C77570">
        <w:rPr>
          <w:sz w:val="24"/>
          <w:szCs w:val="24"/>
        </w:rPr>
        <w:t>x</w:t>
      </w:r>
      <w:r w:rsidR="00F358ED" w:rsidRPr="00C77570">
        <w:rPr>
          <w:sz w:val="24"/>
          <w:szCs w:val="24"/>
        </w:rPr>
        <w:t xml:space="preserve"> (</w:t>
      </w:r>
      <w:r w:rsidR="00B909F6" w:rsidRPr="00C77570">
        <w:rPr>
          <w:sz w:val="24"/>
          <w:szCs w:val="24"/>
        </w:rPr>
        <w:t xml:space="preserve">Třída </w:t>
      </w:r>
      <w:proofErr w:type="spellStart"/>
      <w:r w:rsidR="00B909F6" w:rsidRPr="00C77570">
        <w:rPr>
          <w:sz w:val="24"/>
          <w:szCs w:val="24"/>
        </w:rPr>
        <w:t>NOx</w:t>
      </w:r>
      <w:proofErr w:type="spellEnd"/>
      <w:r w:rsidR="00B909F6" w:rsidRPr="00C77570">
        <w:rPr>
          <w:sz w:val="24"/>
          <w:szCs w:val="24"/>
        </w:rPr>
        <w:t xml:space="preserve"> 6, </w:t>
      </w:r>
      <w:r w:rsidR="00B909F6" w:rsidRPr="00C77570">
        <w:rPr>
          <w:sz w:val="24"/>
          <w:szCs w:val="24"/>
        </w:rPr>
        <w:sym w:font="Symbol" w:char="F03C"/>
      </w:r>
      <w:r w:rsidR="00B909F6" w:rsidRPr="00C77570">
        <w:rPr>
          <w:sz w:val="24"/>
          <w:szCs w:val="24"/>
        </w:rPr>
        <w:t xml:space="preserve"> 56 mg/kWh)</w:t>
      </w:r>
      <w:r w:rsidRPr="00C77570">
        <w:rPr>
          <w:sz w:val="24"/>
          <w:szCs w:val="24"/>
        </w:rPr>
        <w:t>.</w:t>
      </w:r>
    </w:p>
    <w:p w:rsidR="00864950" w:rsidRPr="00C77570" w:rsidRDefault="00864950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bookmarkStart w:id="1" w:name="_Hlk485332879"/>
      <w:r w:rsidRPr="00C77570">
        <w:rPr>
          <w:sz w:val="24"/>
          <w:szCs w:val="24"/>
        </w:rPr>
        <w:t xml:space="preserve">S ohledem na </w:t>
      </w:r>
      <w:r w:rsidR="00B909F6" w:rsidRPr="00C77570">
        <w:rPr>
          <w:sz w:val="24"/>
          <w:szCs w:val="24"/>
        </w:rPr>
        <w:t>novou</w:t>
      </w:r>
      <w:r w:rsidRPr="00C77570">
        <w:rPr>
          <w:sz w:val="24"/>
          <w:szCs w:val="24"/>
        </w:rPr>
        <w:t xml:space="preserve"> tepelnou bilanci</w:t>
      </w:r>
      <w:r w:rsidR="00B909F6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 xml:space="preserve">jsou jako zdroj topné vody pro vytápění i ohřev teplé vody navrženy nové dva stacionární plynové kondenzační kotle o jmenovitém výkonu </w:t>
      </w:r>
      <w:r w:rsidR="00B909F6" w:rsidRPr="00C77570">
        <w:rPr>
          <w:sz w:val="24"/>
          <w:szCs w:val="24"/>
        </w:rPr>
        <w:t>200</w:t>
      </w:r>
      <w:r w:rsidRPr="00C77570">
        <w:rPr>
          <w:sz w:val="24"/>
          <w:szCs w:val="24"/>
        </w:rPr>
        <w:t xml:space="preserve"> kW </w:t>
      </w:r>
      <w:r w:rsidR="00B909F6" w:rsidRPr="00C77570">
        <w:rPr>
          <w:sz w:val="24"/>
          <w:szCs w:val="24"/>
        </w:rPr>
        <w:t>(50</w:t>
      </w:r>
      <w:r w:rsidRPr="00C77570">
        <w:rPr>
          <w:sz w:val="24"/>
          <w:szCs w:val="24"/>
        </w:rPr>
        <w:t>/</w:t>
      </w:r>
      <w:r w:rsidR="00B909F6" w:rsidRPr="00C77570">
        <w:rPr>
          <w:sz w:val="24"/>
          <w:szCs w:val="24"/>
        </w:rPr>
        <w:t>30</w:t>
      </w:r>
      <w:r w:rsidR="009114AF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°C</w:t>
      </w:r>
      <w:r w:rsidR="00B909F6" w:rsidRPr="00C77570">
        <w:rPr>
          <w:sz w:val="24"/>
          <w:szCs w:val="24"/>
        </w:rPr>
        <w:t>) a 184 kW (80/60°C). C</w:t>
      </w:r>
      <w:r w:rsidRPr="00C77570">
        <w:rPr>
          <w:sz w:val="24"/>
          <w:szCs w:val="24"/>
        </w:rPr>
        <w:t>elkový výkon činí 2x</w:t>
      </w:r>
      <w:r w:rsidR="00B909F6" w:rsidRPr="00C77570">
        <w:rPr>
          <w:sz w:val="24"/>
          <w:szCs w:val="24"/>
        </w:rPr>
        <w:t xml:space="preserve">200 </w:t>
      </w:r>
      <w:r w:rsidRPr="00C77570">
        <w:rPr>
          <w:sz w:val="24"/>
          <w:szCs w:val="24"/>
        </w:rPr>
        <w:t>kW</w:t>
      </w:r>
      <w:r w:rsidR="00B909F6" w:rsidRPr="00C77570">
        <w:rPr>
          <w:sz w:val="24"/>
          <w:szCs w:val="24"/>
        </w:rPr>
        <w:t>, respektive 2x184 kW</w:t>
      </w:r>
      <w:r w:rsidRPr="00C77570">
        <w:rPr>
          <w:sz w:val="24"/>
          <w:szCs w:val="24"/>
        </w:rPr>
        <w:t xml:space="preserve">. Dle ČSN 07 0703 se jedná o kotelnu III. Kategorie. Kotle budou zapojeny do kaskády a budou vybaveny </w:t>
      </w:r>
      <w:r w:rsidR="00B909F6" w:rsidRPr="00C77570">
        <w:rPr>
          <w:sz w:val="24"/>
          <w:szCs w:val="24"/>
        </w:rPr>
        <w:t>uzavíracími motorickými klapkami</w:t>
      </w:r>
      <w:r w:rsidRPr="00C77570">
        <w:rPr>
          <w:sz w:val="24"/>
          <w:szCs w:val="24"/>
        </w:rPr>
        <w:t xml:space="preserve">. </w:t>
      </w:r>
      <w:r w:rsidR="00B909F6" w:rsidRPr="00C77570">
        <w:rPr>
          <w:sz w:val="24"/>
          <w:szCs w:val="24"/>
        </w:rPr>
        <w:t xml:space="preserve">Každý kotel </w:t>
      </w:r>
      <w:r w:rsidRPr="00C77570">
        <w:rPr>
          <w:sz w:val="24"/>
          <w:szCs w:val="24"/>
        </w:rPr>
        <w:t xml:space="preserve">bude obsahovat typové </w:t>
      </w:r>
      <w:r w:rsidR="00B909F6" w:rsidRPr="00C77570">
        <w:rPr>
          <w:sz w:val="24"/>
          <w:szCs w:val="24"/>
        </w:rPr>
        <w:t xml:space="preserve">nerezové </w:t>
      </w:r>
      <w:r w:rsidRPr="00C77570">
        <w:rPr>
          <w:sz w:val="24"/>
          <w:szCs w:val="24"/>
        </w:rPr>
        <w:t>odkouření</w:t>
      </w:r>
      <w:r w:rsidR="00B909F6" w:rsidRPr="00C77570">
        <w:rPr>
          <w:sz w:val="24"/>
          <w:szCs w:val="24"/>
        </w:rPr>
        <w:t xml:space="preserve"> DN200 se spalinovou klapkou. Dvě odkouření budou napojena </w:t>
      </w:r>
      <w:r w:rsidRPr="00C77570">
        <w:rPr>
          <w:sz w:val="24"/>
          <w:szCs w:val="24"/>
        </w:rPr>
        <w:t xml:space="preserve">do </w:t>
      </w:r>
      <w:r w:rsidR="00B909F6" w:rsidRPr="00C77570">
        <w:rPr>
          <w:sz w:val="24"/>
          <w:szCs w:val="24"/>
        </w:rPr>
        <w:t>svislých komínových nerez vložek</w:t>
      </w:r>
      <w:r w:rsidR="0041280A" w:rsidRPr="00C77570">
        <w:rPr>
          <w:sz w:val="24"/>
          <w:szCs w:val="24"/>
        </w:rPr>
        <w:t xml:space="preserve"> DN200,</w:t>
      </w:r>
      <w:r w:rsidR="00B909F6" w:rsidRPr="00C77570">
        <w:rPr>
          <w:sz w:val="24"/>
          <w:szCs w:val="24"/>
        </w:rPr>
        <w:t xml:space="preserve"> které budou vedeny v</w:t>
      </w:r>
      <w:r w:rsidR="0041280A" w:rsidRPr="00C77570">
        <w:rPr>
          <w:sz w:val="24"/>
          <w:szCs w:val="24"/>
        </w:rPr>
        <w:t xml:space="preserve">e zděném </w:t>
      </w:r>
      <w:r w:rsidRPr="00C77570">
        <w:rPr>
          <w:sz w:val="24"/>
          <w:szCs w:val="24"/>
        </w:rPr>
        <w:t>komínové</w:t>
      </w:r>
      <w:r w:rsidR="00B909F6" w:rsidRPr="00C77570">
        <w:rPr>
          <w:sz w:val="24"/>
          <w:szCs w:val="24"/>
        </w:rPr>
        <w:t>m</w:t>
      </w:r>
      <w:r w:rsidRPr="00C77570">
        <w:rPr>
          <w:sz w:val="24"/>
          <w:szCs w:val="24"/>
        </w:rPr>
        <w:t xml:space="preserve"> těles</w:t>
      </w:r>
      <w:r w:rsidR="00B909F6" w:rsidRPr="00C77570">
        <w:rPr>
          <w:sz w:val="24"/>
          <w:szCs w:val="24"/>
        </w:rPr>
        <w:t>e</w:t>
      </w:r>
      <w:r w:rsidR="0041280A" w:rsidRPr="00C77570">
        <w:rPr>
          <w:sz w:val="24"/>
          <w:szCs w:val="24"/>
        </w:rPr>
        <w:t xml:space="preserve">. Komínové těleso (vnitřní rozměr </w:t>
      </w:r>
      <w:r w:rsidR="00B909F6" w:rsidRPr="00C77570">
        <w:rPr>
          <w:sz w:val="24"/>
          <w:szCs w:val="24"/>
        </w:rPr>
        <w:t>600</w:t>
      </w:r>
      <w:r w:rsidR="009114AF" w:rsidRPr="00C77570">
        <w:rPr>
          <w:sz w:val="24"/>
          <w:szCs w:val="24"/>
        </w:rPr>
        <w:t>x350 mm</w:t>
      </w:r>
      <w:r w:rsidR="0041280A" w:rsidRPr="00C77570">
        <w:rPr>
          <w:sz w:val="24"/>
          <w:szCs w:val="24"/>
        </w:rPr>
        <w:t xml:space="preserve">) je vedeno </w:t>
      </w:r>
      <w:r w:rsidR="009114AF" w:rsidRPr="00C77570">
        <w:rPr>
          <w:sz w:val="24"/>
          <w:szCs w:val="24"/>
        </w:rPr>
        <w:t xml:space="preserve">uvnitř </w:t>
      </w:r>
      <w:r w:rsidRPr="00C77570">
        <w:rPr>
          <w:sz w:val="24"/>
          <w:szCs w:val="24"/>
        </w:rPr>
        <w:t xml:space="preserve">objektu </w:t>
      </w:r>
      <w:r w:rsidR="009114AF" w:rsidRPr="00C77570">
        <w:rPr>
          <w:sz w:val="24"/>
          <w:szCs w:val="24"/>
        </w:rPr>
        <w:t xml:space="preserve">a </w:t>
      </w:r>
      <w:r w:rsidR="0041280A" w:rsidRPr="00C77570">
        <w:rPr>
          <w:sz w:val="24"/>
          <w:szCs w:val="24"/>
        </w:rPr>
        <w:t>je ukončeno nad</w:t>
      </w:r>
      <w:r w:rsidRPr="00C77570">
        <w:rPr>
          <w:sz w:val="24"/>
          <w:szCs w:val="24"/>
        </w:rPr>
        <w:t xml:space="preserve"> střech</w:t>
      </w:r>
      <w:r w:rsidR="0041280A" w:rsidRPr="00C77570">
        <w:rPr>
          <w:sz w:val="24"/>
          <w:szCs w:val="24"/>
        </w:rPr>
        <w:t>o</w:t>
      </w:r>
      <w:r w:rsidRPr="00C77570">
        <w:rPr>
          <w:sz w:val="24"/>
          <w:szCs w:val="24"/>
        </w:rPr>
        <w:t xml:space="preserve">u objektu </w:t>
      </w:r>
      <w:r w:rsidR="0041280A" w:rsidRPr="00C77570">
        <w:rPr>
          <w:sz w:val="24"/>
          <w:szCs w:val="24"/>
        </w:rPr>
        <w:t xml:space="preserve">komínovou hlavou </w:t>
      </w:r>
      <w:r w:rsidRPr="00C77570">
        <w:rPr>
          <w:sz w:val="24"/>
          <w:szCs w:val="24"/>
        </w:rPr>
        <w:t xml:space="preserve">(H=cca </w:t>
      </w:r>
      <w:r w:rsidR="0041280A" w:rsidRPr="00C77570">
        <w:rPr>
          <w:sz w:val="24"/>
          <w:szCs w:val="24"/>
        </w:rPr>
        <w:t xml:space="preserve">30 </w:t>
      </w:r>
      <w:r w:rsidRPr="00C77570">
        <w:rPr>
          <w:sz w:val="24"/>
          <w:szCs w:val="24"/>
        </w:rPr>
        <w:t>m).</w:t>
      </w:r>
    </w:p>
    <w:p w:rsidR="00864950" w:rsidRPr="00C77570" w:rsidRDefault="00864950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Stacionární plynov</w:t>
      </w:r>
      <w:r w:rsidR="0041280A" w:rsidRPr="00C77570">
        <w:rPr>
          <w:sz w:val="24"/>
          <w:szCs w:val="24"/>
        </w:rPr>
        <w:t>é</w:t>
      </w:r>
      <w:r w:rsidRPr="00C77570">
        <w:rPr>
          <w:sz w:val="24"/>
          <w:szCs w:val="24"/>
        </w:rPr>
        <w:t xml:space="preserve"> kondenzační kot</w:t>
      </w:r>
      <w:r w:rsidR="0041280A" w:rsidRPr="00C77570">
        <w:rPr>
          <w:sz w:val="24"/>
          <w:szCs w:val="24"/>
        </w:rPr>
        <w:t>le</w:t>
      </w:r>
      <w:r w:rsidRPr="00C77570">
        <w:rPr>
          <w:sz w:val="24"/>
          <w:szCs w:val="24"/>
        </w:rPr>
        <w:t xml:space="preserve"> j</w:t>
      </w:r>
      <w:r w:rsidR="0041280A" w:rsidRPr="00C77570">
        <w:rPr>
          <w:sz w:val="24"/>
          <w:szCs w:val="24"/>
        </w:rPr>
        <w:t>sou</w:t>
      </w:r>
      <w:r w:rsidRPr="00C77570">
        <w:rPr>
          <w:sz w:val="24"/>
          <w:szCs w:val="24"/>
        </w:rPr>
        <w:t xml:space="preserve"> vybaven</w:t>
      </w:r>
      <w:r w:rsidR="0041280A" w:rsidRPr="00C77570">
        <w:rPr>
          <w:sz w:val="24"/>
          <w:szCs w:val="24"/>
        </w:rPr>
        <w:t>y</w:t>
      </w:r>
      <w:r w:rsidRPr="00C77570">
        <w:rPr>
          <w:sz w:val="24"/>
          <w:szCs w:val="24"/>
        </w:rPr>
        <w:t xml:space="preserve"> </w:t>
      </w:r>
      <w:r w:rsidR="0041280A" w:rsidRPr="00C77570">
        <w:rPr>
          <w:sz w:val="24"/>
          <w:szCs w:val="24"/>
        </w:rPr>
        <w:t>nerezovým výměníkem</w:t>
      </w:r>
      <w:r w:rsidRPr="00C77570">
        <w:rPr>
          <w:sz w:val="24"/>
          <w:szCs w:val="24"/>
        </w:rPr>
        <w:t xml:space="preserve"> tepla, který dosahuje vysoký normovaný stupeň využití (až 10</w:t>
      </w:r>
      <w:r w:rsidR="0041280A" w:rsidRPr="00C77570">
        <w:rPr>
          <w:sz w:val="24"/>
          <w:szCs w:val="24"/>
        </w:rPr>
        <w:t>6</w:t>
      </w:r>
      <w:r w:rsidRPr="00C77570">
        <w:rPr>
          <w:sz w:val="24"/>
          <w:szCs w:val="24"/>
        </w:rPr>
        <w:t>%). Kotle je vybaven modulačním plynovým hořákem pro tichý a energeticky úsporný provoz</w:t>
      </w:r>
      <w:r w:rsidR="0041280A" w:rsidRPr="00C77570">
        <w:rPr>
          <w:sz w:val="24"/>
          <w:szCs w:val="24"/>
        </w:rPr>
        <w:t xml:space="preserve">. </w:t>
      </w:r>
      <w:r w:rsidRPr="00C77570">
        <w:rPr>
          <w:sz w:val="24"/>
          <w:szCs w:val="24"/>
        </w:rPr>
        <w:t>Kotle i hořák tvoří jeden celek. Kot</w:t>
      </w:r>
      <w:r w:rsidR="0041280A" w:rsidRPr="00C77570">
        <w:rPr>
          <w:sz w:val="24"/>
          <w:szCs w:val="24"/>
        </w:rPr>
        <w:t>le</w:t>
      </w:r>
      <w:r w:rsidRPr="00C77570">
        <w:rPr>
          <w:sz w:val="24"/>
          <w:szCs w:val="24"/>
        </w:rPr>
        <w:t xml:space="preserve"> bud</w:t>
      </w:r>
      <w:r w:rsidR="006035A0" w:rsidRPr="00C77570">
        <w:rPr>
          <w:sz w:val="24"/>
          <w:szCs w:val="24"/>
        </w:rPr>
        <w:t xml:space="preserve">ou řešeny jako plynové spotřebiče typu B, tj. </w:t>
      </w:r>
      <w:r w:rsidRPr="00C77570">
        <w:rPr>
          <w:sz w:val="24"/>
          <w:szCs w:val="24"/>
        </w:rPr>
        <w:t>přívod spalovacího vzduchu</w:t>
      </w:r>
      <w:r w:rsidR="006035A0" w:rsidRPr="00C77570">
        <w:rPr>
          <w:sz w:val="24"/>
          <w:szCs w:val="24"/>
        </w:rPr>
        <w:t xml:space="preserve"> bude z prostoru kotelny</w:t>
      </w:r>
      <w:r w:rsidRPr="00C77570">
        <w:rPr>
          <w:sz w:val="24"/>
          <w:szCs w:val="24"/>
        </w:rPr>
        <w:t xml:space="preserve">. Větrání kotelny bude zajišťovat pouze </w:t>
      </w:r>
      <w:r w:rsidR="0041280A" w:rsidRPr="00C77570">
        <w:rPr>
          <w:sz w:val="24"/>
          <w:szCs w:val="24"/>
        </w:rPr>
        <w:t>0,5</w:t>
      </w:r>
      <w:r w:rsidRPr="00C77570">
        <w:rPr>
          <w:sz w:val="24"/>
          <w:szCs w:val="24"/>
        </w:rPr>
        <w:t xml:space="preserve"> násobnou výměnu vzduchu dle TPG. </w:t>
      </w:r>
      <w:r w:rsidR="0041280A" w:rsidRPr="00C77570">
        <w:rPr>
          <w:sz w:val="24"/>
          <w:szCs w:val="24"/>
        </w:rPr>
        <w:t xml:space="preserve">Kondenzát z kotlů a ze spalinové cesty </w:t>
      </w:r>
      <w:r w:rsidRPr="00C77570">
        <w:rPr>
          <w:sz w:val="24"/>
          <w:szCs w:val="24"/>
        </w:rPr>
        <w:t>bud</w:t>
      </w:r>
      <w:r w:rsidR="0041280A" w:rsidRPr="00C77570">
        <w:rPr>
          <w:sz w:val="24"/>
          <w:szCs w:val="24"/>
        </w:rPr>
        <w:t xml:space="preserve">e napojen do </w:t>
      </w:r>
      <w:r w:rsidRPr="00C77570">
        <w:rPr>
          <w:sz w:val="24"/>
          <w:szCs w:val="24"/>
        </w:rPr>
        <w:t>neutralizační</w:t>
      </w:r>
      <w:r w:rsidR="0041280A" w:rsidRPr="00C77570">
        <w:rPr>
          <w:sz w:val="24"/>
          <w:szCs w:val="24"/>
        </w:rPr>
        <w:t>ho zařízení</w:t>
      </w:r>
      <w:r w:rsidRPr="00C77570">
        <w:rPr>
          <w:sz w:val="24"/>
          <w:szCs w:val="24"/>
        </w:rPr>
        <w:t>. Otvor pro čištění</w:t>
      </w:r>
      <w:r w:rsidR="006035A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teplosměnných ploch pro jednoduchou kontrolu a možnost čištění je vždy zpředu kotle. Kotle</w:t>
      </w:r>
      <w:r w:rsidR="006035A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 xml:space="preserve">budou vybaveny </w:t>
      </w:r>
      <w:r w:rsidR="0041280A" w:rsidRPr="00C77570">
        <w:rPr>
          <w:sz w:val="24"/>
          <w:szCs w:val="24"/>
        </w:rPr>
        <w:t xml:space="preserve">pojistným ventilem (otevírací přetlak 400 </w:t>
      </w:r>
      <w:proofErr w:type="spellStart"/>
      <w:r w:rsidR="0041280A" w:rsidRPr="00C77570">
        <w:rPr>
          <w:sz w:val="24"/>
          <w:szCs w:val="24"/>
        </w:rPr>
        <w:t>kPa</w:t>
      </w:r>
      <w:proofErr w:type="spellEnd"/>
      <w:r w:rsidR="0041280A" w:rsidRPr="00C77570">
        <w:rPr>
          <w:sz w:val="24"/>
          <w:szCs w:val="24"/>
        </w:rPr>
        <w:t>).</w:t>
      </w:r>
    </w:p>
    <w:p w:rsidR="00864950" w:rsidRPr="00C77570" w:rsidRDefault="00864950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Ohřev teplé vody</w:t>
      </w:r>
      <w:r w:rsidR="003F0D0E" w:rsidRPr="00C77570">
        <w:rPr>
          <w:sz w:val="24"/>
          <w:szCs w:val="24"/>
        </w:rPr>
        <w:t xml:space="preserve"> (TV) </w:t>
      </w:r>
      <w:r w:rsidRPr="00C77570">
        <w:rPr>
          <w:sz w:val="24"/>
          <w:szCs w:val="24"/>
        </w:rPr>
        <w:t>bud</w:t>
      </w:r>
      <w:r w:rsidR="003F0D0E" w:rsidRPr="00C77570">
        <w:rPr>
          <w:sz w:val="24"/>
          <w:szCs w:val="24"/>
        </w:rPr>
        <w:t>e</w:t>
      </w:r>
      <w:r w:rsidRPr="00C77570">
        <w:rPr>
          <w:sz w:val="24"/>
          <w:szCs w:val="24"/>
        </w:rPr>
        <w:t xml:space="preserve"> zajišťov</w:t>
      </w:r>
      <w:r w:rsidR="004171F1" w:rsidRPr="00C77570">
        <w:rPr>
          <w:sz w:val="24"/>
          <w:szCs w:val="24"/>
        </w:rPr>
        <w:t xml:space="preserve">at </w:t>
      </w:r>
      <w:r w:rsidRPr="00C77570">
        <w:rPr>
          <w:sz w:val="24"/>
          <w:szCs w:val="24"/>
        </w:rPr>
        <w:t>nepřímotopn</w:t>
      </w:r>
      <w:r w:rsidR="004171F1" w:rsidRPr="00C77570">
        <w:rPr>
          <w:sz w:val="24"/>
          <w:szCs w:val="24"/>
        </w:rPr>
        <w:t xml:space="preserve">ý </w:t>
      </w:r>
      <w:r w:rsidR="000D792C" w:rsidRPr="00C77570">
        <w:rPr>
          <w:sz w:val="24"/>
          <w:szCs w:val="24"/>
        </w:rPr>
        <w:t xml:space="preserve">stacionární </w:t>
      </w:r>
      <w:r w:rsidR="004171F1" w:rsidRPr="00C77570">
        <w:rPr>
          <w:sz w:val="24"/>
          <w:szCs w:val="24"/>
        </w:rPr>
        <w:t>zásobníkový</w:t>
      </w:r>
      <w:r w:rsidRPr="00C77570">
        <w:rPr>
          <w:sz w:val="24"/>
          <w:szCs w:val="24"/>
        </w:rPr>
        <w:t xml:space="preserve"> ohřívač</w:t>
      </w:r>
      <w:r w:rsidR="003F0D0E" w:rsidRPr="00C77570">
        <w:rPr>
          <w:sz w:val="24"/>
          <w:szCs w:val="24"/>
        </w:rPr>
        <w:t xml:space="preserve"> o objemu </w:t>
      </w:r>
      <w:r w:rsidR="000D792C" w:rsidRPr="00C77570">
        <w:rPr>
          <w:sz w:val="24"/>
          <w:szCs w:val="24"/>
        </w:rPr>
        <w:t>5</w:t>
      </w:r>
      <w:r w:rsidR="003F0D0E" w:rsidRPr="00C77570">
        <w:rPr>
          <w:sz w:val="24"/>
          <w:szCs w:val="24"/>
        </w:rPr>
        <w:t>00 litrů (administrativní budova)</w:t>
      </w:r>
      <w:r w:rsidRPr="00C77570">
        <w:rPr>
          <w:sz w:val="24"/>
          <w:szCs w:val="24"/>
        </w:rPr>
        <w:t xml:space="preserve">. Zásobník je dodáván včetně dokonalé tepelné izolace a opláštění. Tento typ zásobníku má </w:t>
      </w:r>
      <w:r w:rsidR="003F0D0E" w:rsidRPr="00C77570">
        <w:rPr>
          <w:sz w:val="24"/>
          <w:szCs w:val="24"/>
        </w:rPr>
        <w:t xml:space="preserve">stříbrné </w:t>
      </w:r>
      <w:r w:rsidRPr="00C77570">
        <w:rPr>
          <w:sz w:val="24"/>
          <w:szCs w:val="24"/>
        </w:rPr>
        <w:t xml:space="preserve">provedení opláštění. Technické parametry ohřívače: výkon ohřívače je </w:t>
      </w:r>
      <w:r w:rsidR="00382737" w:rsidRPr="00C77570">
        <w:rPr>
          <w:sz w:val="24"/>
          <w:szCs w:val="24"/>
        </w:rPr>
        <w:t>808</w:t>
      </w:r>
      <w:r w:rsidRPr="00C77570">
        <w:rPr>
          <w:sz w:val="24"/>
          <w:szCs w:val="24"/>
        </w:rPr>
        <w:t xml:space="preserve"> l /hod při teplotě </w:t>
      </w:r>
      <w:r w:rsidR="00382737" w:rsidRPr="00C77570">
        <w:rPr>
          <w:sz w:val="24"/>
          <w:szCs w:val="24"/>
        </w:rPr>
        <w:t>60</w:t>
      </w:r>
      <w:r w:rsidR="009114AF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 xml:space="preserve">°C a výkonu zdroje </w:t>
      </w:r>
      <w:r w:rsidR="00382737" w:rsidRPr="00C77570">
        <w:rPr>
          <w:sz w:val="24"/>
          <w:szCs w:val="24"/>
        </w:rPr>
        <w:t>47</w:t>
      </w:r>
      <w:r w:rsidRPr="00C77570">
        <w:rPr>
          <w:sz w:val="24"/>
          <w:szCs w:val="24"/>
        </w:rPr>
        <w:t xml:space="preserve"> kW, výkonové číslo NL=</w:t>
      </w:r>
      <w:r w:rsidR="00382737" w:rsidRPr="00C77570">
        <w:rPr>
          <w:sz w:val="24"/>
          <w:szCs w:val="24"/>
        </w:rPr>
        <w:t>12</w:t>
      </w:r>
      <w:r w:rsidRPr="00C77570">
        <w:rPr>
          <w:sz w:val="24"/>
          <w:szCs w:val="24"/>
        </w:rPr>
        <w:t>,</w:t>
      </w:r>
      <w:r w:rsidR="00382737" w:rsidRPr="00C77570">
        <w:rPr>
          <w:sz w:val="24"/>
          <w:szCs w:val="24"/>
        </w:rPr>
        <w:t>5</w:t>
      </w:r>
      <w:r w:rsidRPr="00C77570">
        <w:rPr>
          <w:sz w:val="24"/>
          <w:szCs w:val="24"/>
        </w:rPr>
        <w:t xml:space="preserve">. Rozměry ohřívače: průměr vč. izolace je </w:t>
      </w:r>
      <w:r w:rsidR="00382737" w:rsidRPr="00C77570">
        <w:rPr>
          <w:sz w:val="24"/>
          <w:szCs w:val="24"/>
        </w:rPr>
        <w:t>67</w:t>
      </w:r>
      <w:r w:rsidRPr="00C77570">
        <w:rPr>
          <w:sz w:val="24"/>
          <w:szCs w:val="24"/>
        </w:rPr>
        <w:t xml:space="preserve">0 mm, výška </w:t>
      </w:r>
      <w:r w:rsidR="00382737" w:rsidRPr="00C77570">
        <w:rPr>
          <w:sz w:val="24"/>
          <w:szCs w:val="24"/>
        </w:rPr>
        <w:t>1835</w:t>
      </w:r>
      <w:r w:rsidRPr="00C77570">
        <w:rPr>
          <w:sz w:val="24"/>
          <w:szCs w:val="24"/>
        </w:rPr>
        <w:t xml:space="preserve"> mm, hmotnost </w:t>
      </w:r>
      <w:r w:rsidR="00382737" w:rsidRPr="00C77570">
        <w:rPr>
          <w:sz w:val="24"/>
          <w:szCs w:val="24"/>
        </w:rPr>
        <w:t>119</w:t>
      </w:r>
      <w:r w:rsidRPr="00C77570">
        <w:rPr>
          <w:sz w:val="24"/>
          <w:szCs w:val="24"/>
        </w:rPr>
        <w:t xml:space="preserve"> kg.</w:t>
      </w:r>
    </w:p>
    <w:p w:rsidR="000D792C" w:rsidRPr="00C77570" w:rsidRDefault="000D792C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Společné potrubí topné vody DN100 od kotlů bude zavedeno (</w:t>
      </w:r>
      <w:proofErr w:type="spellStart"/>
      <w:r w:rsidRPr="00C77570">
        <w:rPr>
          <w:sz w:val="24"/>
          <w:szCs w:val="24"/>
        </w:rPr>
        <w:t>Qmax</w:t>
      </w:r>
      <w:proofErr w:type="spellEnd"/>
      <w:r w:rsidRPr="00C77570">
        <w:rPr>
          <w:sz w:val="24"/>
          <w:szCs w:val="24"/>
        </w:rPr>
        <w:t xml:space="preserve">=23 m3/hod) do nového rozdělovače a sběrače (R+S) DN150, ze kterého budou napojeny stávající okruhy vytápění.  Mezi kotly a R+S bude vyvedena odbočka DN 32 pro napojení topné vložky zásobníku na ohřev teplé vody. </w:t>
      </w:r>
    </w:p>
    <w:p w:rsidR="000D792C" w:rsidRPr="00C77570" w:rsidRDefault="000D792C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Nový rozdělovač a sběrač bude zhotoven z potrubí DN 150. Na přívodu od kotlů budou umístěny uzavírací mezi přírubové klapky DN 100. Z rozdělovače a sběrače budou napojeny čtyři okruhy vytápění. </w:t>
      </w:r>
    </w:p>
    <w:p w:rsidR="00062DF7" w:rsidRDefault="00062DF7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</w:p>
    <w:p w:rsidR="00653B1C" w:rsidRDefault="00653B1C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</w:p>
    <w:p w:rsidR="00864950" w:rsidRPr="00C77570" w:rsidRDefault="000D792C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Každý okruh vytápění (I až IV) bude obsahovat: 4 ks kulových kohoutů (přírubových klapek), 1 ks vyvažovacích ventilů, třícestný směšovací ventil se </w:t>
      </w:r>
      <w:proofErr w:type="spellStart"/>
      <w:r w:rsidRPr="00C77570">
        <w:rPr>
          <w:sz w:val="24"/>
          <w:szCs w:val="24"/>
        </w:rPr>
        <w:t>servopohonem</w:t>
      </w:r>
      <w:proofErr w:type="spellEnd"/>
      <w:r w:rsidRPr="00C77570">
        <w:rPr>
          <w:sz w:val="24"/>
          <w:szCs w:val="24"/>
        </w:rPr>
        <w:t xml:space="preserve">, elektronické oběhové čerpadlo, zpětnou klapku, filtr, 2 ks vypouštěcí kulové kohouty a 2 ks teploměrů. Regulace dle venkovní teploty bude zajišťovat kotlová regulace dle výrobce kotle. </w:t>
      </w:r>
    </w:p>
    <w:p w:rsidR="00864950" w:rsidRPr="00C77570" w:rsidRDefault="00864950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Stavební úpravy řeší pouze nezbytné úpravy pouze pro osazení nových plynových kotlů a dále pro vedení nových rozvodů NTL. plynu a ústředního vytápění (</w:t>
      </w:r>
      <w:r w:rsidR="000D792C" w:rsidRPr="00C77570">
        <w:rPr>
          <w:sz w:val="24"/>
          <w:szCs w:val="24"/>
        </w:rPr>
        <w:t>zahlazení prostupů</w:t>
      </w:r>
      <w:r w:rsidRPr="00C77570">
        <w:rPr>
          <w:sz w:val="24"/>
          <w:szCs w:val="24"/>
        </w:rPr>
        <w:t>,</w:t>
      </w:r>
      <w:r w:rsidR="000D792C" w:rsidRPr="00C77570">
        <w:rPr>
          <w:sz w:val="24"/>
          <w:szCs w:val="24"/>
        </w:rPr>
        <w:t xml:space="preserve"> </w:t>
      </w:r>
      <w:r w:rsidR="00382737" w:rsidRPr="00C77570">
        <w:rPr>
          <w:sz w:val="24"/>
          <w:szCs w:val="24"/>
        </w:rPr>
        <w:t>malby</w:t>
      </w:r>
      <w:r w:rsidR="000D792C" w:rsidRPr="00C77570">
        <w:rPr>
          <w:sz w:val="24"/>
          <w:szCs w:val="24"/>
        </w:rPr>
        <w:t xml:space="preserve">, </w:t>
      </w:r>
      <w:r w:rsidRPr="00C77570">
        <w:rPr>
          <w:sz w:val="24"/>
          <w:szCs w:val="24"/>
        </w:rPr>
        <w:t>atd.).</w:t>
      </w:r>
    </w:p>
    <w:bookmarkEnd w:id="1"/>
    <w:p w:rsidR="00E57D88" w:rsidRPr="00C77570" w:rsidRDefault="00E57D88" w:rsidP="00C77570">
      <w:pPr>
        <w:tabs>
          <w:tab w:val="left" w:pos="567"/>
        </w:tabs>
        <w:spacing w:line="260" w:lineRule="exact"/>
        <w:jc w:val="both"/>
        <w:rPr>
          <w:b/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b – Urbanistické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a architektonické řešení stavby, popřípadě pozemků s ní související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Projektová dokumentace neřeší. Pracemi vnitřních stavebních úprav nedojde k</w:t>
      </w:r>
      <w:r w:rsidR="006C6D2F" w:rsidRPr="00C77570">
        <w:rPr>
          <w:sz w:val="24"/>
          <w:szCs w:val="24"/>
        </w:rPr>
        <w:t> </w:t>
      </w:r>
      <w:r w:rsidRPr="00C77570">
        <w:rPr>
          <w:sz w:val="24"/>
          <w:szCs w:val="24"/>
        </w:rPr>
        <w:t>narušení</w:t>
      </w:r>
      <w:r w:rsidR="006C6D2F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architektonického řešení stavby a u stávajícího objektu nedochází ke změně objemu, tvaru a jeho celkového vzhledu.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c – Technické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řešení s popisem pozemních staveb a inženýrských staveb a řešení vnějších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r w:rsidRPr="00C77570">
        <w:rPr>
          <w:i/>
          <w:iCs/>
          <w:sz w:val="24"/>
          <w:szCs w:val="24"/>
          <w:u w:val="single"/>
        </w:rPr>
        <w:t>ploch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nezasahuje do vnějších ploch a nemění nikterak vzhled objektu.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d – Napojení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stavby na dopravní a technickou infrastrukturu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Napojení stavby na dopravní </w:t>
      </w:r>
      <w:r w:rsidR="00191090" w:rsidRPr="00C77570">
        <w:rPr>
          <w:sz w:val="24"/>
          <w:szCs w:val="24"/>
        </w:rPr>
        <w:t>infrastrukturu – projektová</w:t>
      </w:r>
      <w:r w:rsidRPr="00C77570">
        <w:rPr>
          <w:sz w:val="24"/>
          <w:szCs w:val="24"/>
        </w:rPr>
        <w:t xml:space="preserve"> dokumentace neřeší, stávající bez úprav. Lehká technika pro dovoz hutního materiálu </w:t>
      </w:r>
      <w:r w:rsidR="000D792C" w:rsidRPr="00C77570">
        <w:rPr>
          <w:sz w:val="24"/>
          <w:szCs w:val="24"/>
        </w:rPr>
        <w:t xml:space="preserve">(kotlová technologie, zařízení kotelny, </w:t>
      </w:r>
      <w:r w:rsidRPr="00C77570">
        <w:rPr>
          <w:sz w:val="24"/>
          <w:szCs w:val="24"/>
        </w:rPr>
        <w:t>ocelové potrubí, armatur</w:t>
      </w:r>
      <w:r w:rsidR="000D792C" w:rsidRPr="00C77570">
        <w:rPr>
          <w:sz w:val="24"/>
          <w:szCs w:val="24"/>
        </w:rPr>
        <w:t>y a ostatní)</w:t>
      </w:r>
      <w:r w:rsidRPr="00C77570">
        <w:rPr>
          <w:sz w:val="24"/>
          <w:szCs w:val="24"/>
        </w:rPr>
        <w:t xml:space="preserve"> bude přijíždět po komunikací </w:t>
      </w:r>
      <w:r w:rsidR="000D792C" w:rsidRPr="00C77570">
        <w:rPr>
          <w:sz w:val="24"/>
          <w:szCs w:val="24"/>
        </w:rPr>
        <w:t xml:space="preserve">Křižíkova nebo </w:t>
      </w:r>
      <w:r w:rsidRPr="00C77570">
        <w:rPr>
          <w:sz w:val="24"/>
          <w:szCs w:val="24"/>
        </w:rPr>
        <w:t xml:space="preserve">až přímo k objektu ke vstupním dveřím </w:t>
      </w:r>
      <w:r w:rsidR="000D792C" w:rsidRPr="00C77570">
        <w:rPr>
          <w:sz w:val="24"/>
          <w:szCs w:val="24"/>
        </w:rPr>
        <w:t>ze strany autobusového nádraží Florenc.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e – Řešení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technické a dopravní infrastruktury, včetně řečení dopravy v klidu, dodržení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r w:rsidRPr="00C77570">
        <w:rPr>
          <w:i/>
          <w:iCs/>
          <w:sz w:val="24"/>
          <w:szCs w:val="24"/>
          <w:u w:val="single"/>
        </w:rPr>
        <w:t>podmínek stanovených pro navrhování staveb na poddolovaném a svážném území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Projektová dokumentace neřeší.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f – Vliv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stavby na životní prostředí a řešení jeho ochrany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nevyžaduje zábor zemědělského půdního fondu, nebo lesního půdního fondu.</w:t>
      </w:r>
    </w:p>
    <w:p w:rsidR="00D324C5" w:rsidRPr="00C77570" w:rsidRDefault="00D324C5" w:rsidP="00C77570">
      <w:pPr>
        <w:autoSpaceDE w:val="0"/>
        <w:autoSpaceDN w:val="0"/>
        <w:adjustRightInd w:val="0"/>
        <w:spacing w:before="120"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Voda a ostatní surovinové zdroje:</w:t>
      </w:r>
    </w:p>
    <w:p w:rsidR="00D324C5" w:rsidRPr="00C77570" w:rsidRDefault="00D324C5" w:rsidP="00062DF7">
      <w:pPr>
        <w:autoSpaceDE w:val="0"/>
        <w:autoSpaceDN w:val="0"/>
        <w:adjustRightInd w:val="0"/>
        <w:spacing w:before="80" w:line="260" w:lineRule="exact"/>
        <w:ind w:left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zdroj vody: napojeno na místní rozvod v objektu</w:t>
      </w:r>
    </w:p>
    <w:p w:rsidR="00D324C5" w:rsidRPr="00C77570" w:rsidRDefault="00D324C5" w:rsidP="00062DF7">
      <w:pPr>
        <w:autoSpaceDE w:val="0"/>
        <w:autoSpaceDN w:val="0"/>
        <w:adjustRightInd w:val="0"/>
        <w:spacing w:before="80" w:line="260" w:lineRule="exact"/>
        <w:ind w:left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vypouštění splaškových vod do stávající kanalizační sítě</w:t>
      </w:r>
    </w:p>
    <w:p w:rsidR="00D324C5" w:rsidRPr="00C77570" w:rsidRDefault="00D324C5" w:rsidP="00062DF7">
      <w:pPr>
        <w:autoSpaceDE w:val="0"/>
        <w:autoSpaceDN w:val="0"/>
        <w:adjustRightInd w:val="0"/>
        <w:spacing w:before="80" w:line="260" w:lineRule="exact"/>
        <w:ind w:left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elektrická energie, napojeno na stávající rozvod v objektu</w:t>
      </w:r>
    </w:p>
    <w:p w:rsidR="00D324C5" w:rsidRPr="00C77570" w:rsidRDefault="00D324C5" w:rsidP="00062DF7">
      <w:pPr>
        <w:autoSpaceDE w:val="0"/>
        <w:autoSpaceDN w:val="0"/>
        <w:adjustRightInd w:val="0"/>
        <w:spacing w:before="80" w:line="260" w:lineRule="exact"/>
        <w:ind w:left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zemní plyn, napojen na nový rozvod přivedený k objektu</w:t>
      </w:r>
    </w:p>
    <w:p w:rsidR="00E57D88" w:rsidRPr="00C77570" w:rsidRDefault="00D324C5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b/>
          <w:sz w:val="24"/>
          <w:szCs w:val="24"/>
        </w:rPr>
      </w:pPr>
      <w:r w:rsidRPr="00C77570">
        <w:rPr>
          <w:sz w:val="24"/>
          <w:szCs w:val="24"/>
        </w:rPr>
        <w:t xml:space="preserve">Zdrojem topné vody pro vytápění objektu jsou navrženy dva stacionární plynové kondenzační kotle o jmenovitém výkonu </w:t>
      </w:r>
      <w:r w:rsidR="000D792C" w:rsidRPr="00C77570">
        <w:rPr>
          <w:sz w:val="24"/>
          <w:szCs w:val="24"/>
        </w:rPr>
        <w:t>200</w:t>
      </w:r>
      <w:r w:rsidRPr="00C77570">
        <w:rPr>
          <w:sz w:val="24"/>
          <w:szCs w:val="24"/>
        </w:rPr>
        <w:t xml:space="preserve"> kW </w:t>
      </w:r>
      <w:r w:rsidR="000D792C" w:rsidRPr="00C77570">
        <w:rPr>
          <w:sz w:val="24"/>
          <w:szCs w:val="24"/>
        </w:rPr>
        <w:t>(</w:t>
      </w:r>
      <w:r w:rsidRPr="00C77570">
        <w:rPr>
          <w:sz w:val="24"/>
          <w:szCs w:val="24"/>
        </w:rPr>
        <w:t xml:space="preserve">při </w:t>
      </w:r>
      <w:r w:rsidR="000D792C" w:rsidRPr="00C77570">
        <w:rPr>
          <w:sz w:val="24"/>
          <w:szCs w:val="24"/>
        </w:rPr>
        <w:t>50</w:t>
      </w:r>
      <w:r w:rsidRPr="00C77570">
        <w:rPr>
          <w:sz w:val="24"/>
          <w:szCs w:val="24"/>
        </w:rPr>
        <w:t>/</w:t>
      </w:r>
      <w:r w:rsidR="000D792C" w:rsidRPr="00C77570">
        <w:rPr>
          <w:sz w:val="24"/>
          <w:szCs w:val="24"/>
        </w:rPr>
        <w:t>30</w:t>
      </w:r>
      <w:r w:rsidR="006C6D2F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°C (celkový výkon činí 2x2</w:t>
      </w:r>
      <w:r w:rsidR="000D792C" w:rsidRPr="00C77570">
        <w:rPr>
          <w:sz w:val="24"/>
          <w:szCs w:val="24"/>
        </w:rPr>
        <w:t xml:space="preserve">00 </w:t>
      </w:r>
      <w:r w:rsidRPr="00C77570">
        <w:rPr>
          <w:sz w:val="24"/>
          <w:szCs w:val="24"/>
        </w:rPr>
        <w:t>kW). Kotle budou osazené v samostatné místnosti</w:t>
      </w:r>
      <w:r w:rsidR="000C307B" w:rsidRPr="00C77570">
        <w:rPr>
          <w:sz w:val="24"/>
          <w:szCs w:val="24"/>
        </w:rPr>
        <w:t xml:space="preserve"> - plynová kotelny</w:t>
      </w:r>
      <w:r w:rsidRPr="00C77570">
        <w:rPr>
          <w:sz w:val="24"/>
          <w:szCs w:val="24"/>
        </w:rPr>
        <w:t xml:space="preserve">. Kotle </w:t>
      </w:r>
      <w:r w:rsidR="000C307B" w:rsidRPr="00C77570">
        <w:rPr>
          <w:sz w:val="24"/>
          <w:szCs w:val="24"/>
        </w:rPr>
        <w:t xml:space="preserve">jsou vybaveny válcovým hořákem Matrix s regulací topného výkonu v rozmezí 24-100 % a s regulací spalování Lambda Pro </w:t>
      </w:r>
      <w:proofErr w:type="spellStart"/>
      <w:r w:rsidR="000C307B" w:rsidRPr="00C77570">
        <w:rPr>
          <w:sz w:val="24"/>
          <w:szCs w:val="24"/>
        </w:rPr>
        <w:t>Control</w:t>
      </w:r>
      <w:proofErr w:type="spellEnd"/>
      <w:r w:rsidR="000C307B" w:rsidRPr="00C77570">
        <w:rPr>
          <w:sz w:val="24"/>
          <w:szCs w:val="24"/>
        </w:rPr>
        <w:t xml:space="preserve"> s nízkými emisemi Nox (Třída </w:t>
      </w:r>
      <w:proofErr w:type="spellStart"/>
      <w:r w:rsidR="000C307B" w:rsidRPr="00C77570">
        <w:rPr>
          <w:sz w:val="24"/>
          <w:szCs w:val="24"/>
        </w:rPr>
        <w:t>NOx</w:t>
      </w:r>
      <w:proofErr w:type="spellEnd"/>
      <w:r w:rsidR="000C307B" w:rsidRPr="00C77570">
        <w:rPr>
          <w:sz w:val="24"/>
          <w:szCs w:val="24"/>
        </w:rPr>
        <w:t xml:space="preserve"> 6, </w:t>
      </w:r>
      <w:r w:rsidR="000C307B" w:rsidRPr="00C77570">
        <w:rPr>
          <w:sz w:val="24"/>
          <w:szCs w:val="24"/>
        </w:rPr>
        <w:sym w:font="Symbol" w:char="F03C"/>
      </w:r>
      <w:r w:rsidR="000C307B" w:rsidRPr="00C77570">
        <w:rPr>
          <w:sz w:val="24"/>
          <w:szCs w:val="24"/>
        </w:rPr>
        <w:t xml:space="preserve"> 56 mg/kWh). </w:t>
      </w:r>
      <w:r w:rsidRPr="00C77570">
        <w:rPr>
          <w:sz w:val="24"/>
          <w:szCs w:val="24"/>
        </w:rPr>
        <w:t>Kotel vytváří nízké emise hluku. V oblasti nedojde ke zhoršení životního prostředí.</w:t>
      </w:r>
    </w:p>
    <w:p w:rsidR="00D324C5" w:rsidRPr="00C77570" w:rsidRDefault="00D324C5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 odpadem vzniklým při provádění stavby, musí původce odpadu (zhotovitel stavby) nakládat ve smyslu zákona č. 185/2001 Sb. o odpadech a vyhlášky č. 381/2001 Sb., kterou se stanoví katalog odpadů. Odpady budou využity, nebo odstraňovány v souladu s platnou legislativou.</w:t>
      </w:r>
    </w:p>
    <w:p w:rsidR="00D324C5" w:rsidRPr="00C77570" w:rsidRDefault="00D324C5" w:rsidP="00062DF7">
      <w:pPr>
        <w:autoSpaceDE w:val="0"/>
        <w:autoSpaceDN w:val="0"/>
        <w:adjustRightInd w:val="0"/>
        <w:spacing w:before="120"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Stavební odpady vzniklé při provádění stavebních prací a při demontáži stávající plynové kotelny budou separovány a ukládány do ocelových kontejnerů a na základě dohod odváženy na určené místo.</w:t>
      </w: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062DF7" w:rsidRPr="00C77570" w:rsidRDefault="00062DF7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Beton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17 01 01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Cihly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17 01 02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Směsi nebo oddělené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17 01 07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frakce betonu, cihel,</w:t>
      </w:r>
      <w:r w:rsidR="00930BDF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tašek bez NL</w:t>
      </w:r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Sklo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17 02 02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Plasty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17 02 03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Železo a ocel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17 04 05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Kabely bez NL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17 04 11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Zemina a kamení bez NL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>17 05 04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Izolační materiály bez NL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17 06 04 </w:t>
      </w:r>
      <w:r w:rsidRPr="00C77570">
        <w:rPr>
          <w:sz w:val="24"/>
          <w:szCs w:val="24"/>
        </w:rPr>
        <w:tab/>
        <w:t>O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Směs stavebních a demoličních </w:t>
      </w:r>
      <w:r w:rsidRPr="00C77570">
        <w:rPr>
          <w:sz w:val="24"/>
          <w:szCs w:val="24"/>
        </w:rPr>
        <w:tab/>
        <w:t xml:space="preserve">17 09 04 </w:t>
      </w:r>
      <w:r w:rsidRPr="00C77570">
        <w:rPr>
          <w:sz w:val="24"/>
          <w:szCs w:val="24"/>
        </w:rPr>
        <w:tab/>
        <w:t xml:space="preserve">O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  <w:t xml:space="preserve">likviduje staveb. </w:t>
      </w:r>
      <w:proofErr w:type="gramStart"/>
      <w:r w:rsidRPr="00C77570">
        <w:rPr>
          <w:sz w:val="24"/>
          <w:szCs w:val="24"/>
        </w:rPr>
        <w:t>fa</w:t>
      </w:r>
      <w:proofErr w:type="gramEnd"/>
    </w:p>
    <w:p w:rsidR="00D324C5" w:rsidRPr="00C77570" w:rsidRDefault="00D324C5" w:rsidP="000E6BD5">
      <w:pPr>
        <w:autoSpaceDE w:val="0"/>
        <w:autoSpaceDN w:val="0"/>
        <w:adjustRightInd w:val="0"/>
        <w:spacing w:line="30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odpadů bez NL 17 09 04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Odpady nebudou na staveništi likvidovány spalováním, zahrabáváním apod.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Projektant nepředpokládá výskyt izolačního materiálu s asbestem N 170601 ani jiné izolační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materiály, které jsou nebo obsahují NL N 17 0603. V případě jejich výskytu bude likvidace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odpovídat platné legislativě a její likvidaci provede firma s odpovídajícím certifikátem na skládku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s nebezpečným odpadem.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324C5" w:rsidRPr="00C77570" w:rsidRDefault="00D324C5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Odpady vznikající při provozu (odřezky, zbytky) jsou klasifikovány jako komunální odpad.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Zářivky budou ukládány ve skladu v původních obalech tak, aby nedošlo k jejich rozbití. Odpady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kategorie “Ostatní” budou shromažďovány v popelnicích 110 l, případně v kontejnerech 1100 l.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 xml:space="preserve">Všechny odpady budou zneškodňovány prostřednictvím oprávněné </w:t>
      </w:r>
      <w:r w:rsidR="00930BDF" w:rsidRPr="00C77570">
        <w:rPr>
          <w:sz w:val="24"/>
          <w:szCs w:val="24"/>
        </w:rPr>
        <w:t>firmy,</w:t>
      </w:r>
      <w:r w:rsidRPr="00C77570">
        <w:rPr>
          <w:sz w:val="24"/>
          <w:szCs w:val="24"/>
        </w:rPr>
        <w:t xml:space="preserve"> a to včetně odvozu.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C04F2A" w:rsidRPr="00C77570" w:rsidRDefault="00D324C5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Nutné stavební úpravy jsou pouze pro </w:t>
      </w:r>
      <w:r w:rsidR="000C307B" w:rsidRPr="00C77570">
        <w:rPr>
          <w:sz w:val="24"/>
          <w:szCs w:val="24"/>
        </w:rPr>
        <w:t xml:space="preserve">úpravu (utěsnění a zahlazení) </w:t>
      </w:r>
      <w:r w:rsidRPr="00C77570">
        <w:rPr>
          <w:sz w:val="24"/>
          <w:szCs w:val="24"/>
        </w:rPr>
        <w:t>potřebných prostupů stávajícími konstrukcemi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pro nová teplovodní potrubí a rozvodu plynu. Pozemek sousedí s obytnou zónou</w:t>
      </w:r>
      <w:r w:rsidR="00C04F2A" w:rsidRPr="00C77570">
        <w:rPr>
          <w:sz w:val="24"/>
          <w:szCs w:val="24"/>
        </w:rPr>
        <w:t xml:space="preserve">. 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C04F2A" w:rsidRPr="00C77570" w:rsidRDefault="00D324C5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Životní prostředí – ovzduší, voda, půda, fauna a flóra nebude provedením stavebních úprav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ovlivněna ani narušena.</w:t>
      </w:r>
      <w:r w:rsidR="00C04F2A" w:rsidRPr="00C77570">
        <w:rPr>
          <w:sz w:val="24"/>
          <w:szCs w:val="24"/>
        </w:rPr>
        <w:t xml:space="preserve"> 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E57D88" w:rsidRPr="00C77570" w:rsidRDefault="00D324C5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b/>
          <w:sz w:val="24"/>
          <w:szCs w:val="24"/>
        </w:rPr>
      </w:pPr>
      <w:r w:rsidRPr="00C77570">
        <w:rPr>
          <w:sz w:val="24"/>
          <w:szCs w:val="24"/>
        </w:rPr>
        <w:t>Stavba nemění charakter osídlení a stavba není v území surovinových zdrojů. Stavbou nevzniknou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zdravotní rizika pro obyvatelstvo a stavba nemá pro obyvatelstvo sociální, ani ekonomické negativní</w:t>
      </w:r>
      <w:r w:rsidR="00C04F2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důsledky.</w:t>
      </w:r>
    </w:p>
    <w:p w:rsidR="00E57D88" w:rsidRPr="00C77570" w:rsidRDefault="00E57D88" w:rsidP="00C77570">
      <w:pPr>
        <w:tabs>
          <w:tab w:val="left" w:pos="567"/>
        </w:tabs>
        <w:spacing w:line="260" w:lineRule="exact"/>
        <w:jc w:val="both"/>
        <w:rPr>
          <w:b/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g – Řešení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bezbariérového užívání stavby navazujících veřejně přístupných ploch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r w:rsidRPr="00C77570">
        <w:rPr>
          <w:i/>
          <w:iCs/>
          <w:sz w:val="24"/>
          <w:szCs w:val="24"/>
          <w:u w:val="single"/>
        </w:rPr>
        <w:t>a komunikací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nespadá do rozsahu platnosti Vyhlášky č. 398/2009 Sb. – o obecných technických požadavcích zabezpečujících bezbariérové užívání staveb a investorem nebylo požadováno.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h – Průzkumy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a měření, jejich vyhodnocení a začlenění jejich výsledků do projektové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r w:rsidRPr="00C77570">
        <w:rPr>
          <w:i/>
          <w:iCs/>
          <w:sz w:val="24"/>
          <w:szCs w:val="24"/>
          <w:u w:val="single"/>
        </w:rPr>
        <w:t>dokumentace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left="708" w:hanging="141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Podklady pro zpracování projektové dokumentace</w:t>
      </w:r>
    </w:p>
    <w:p w:rsidR="00C04F2A" w:rsidRPr="00C77570" w:rsidRDefault="00C04F2A" w:rsidP="00C77570">
      <w:pPr>
        <w:autoSpaceDE w:val="0"/>
        <w:autoSpaceDN w:val="0"/>
        <w:adjustRightInd w:val="0"/>
        <w:spacing w:before="120" w:line="260" w:lineRule="exact"/>
        <w:ind w:left="1134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- vlastní zaměření části stávajícího </w:t>
      </w:r>
      <w:proofErr w:type="gramStart"/>
      <w:r w:rsidRPr="00C77570">
        <w:rPr>
          <w:sz w:val="24"/>
          <w:szCs w:val="24"/>
        </w:rPr>
        <w:t>objektu v 1.</w:t>
      </w:r>
      <w:r w:rsidR="006C6D2F" w:rsidRPr="00C77570">
        <w:rPr>
          <w:sz w:val="24"/>
          <w:szCs w:val="24"/>
        </w:rPr>
        <w:t>P</w:t>
      </w:r>
      <w:r w:rsidRPr="00C77570">
        <w:rPr>
          <w:sz w:val="24"/>
          <w:szCs w:val="24"/>
        </w:rPr>
        <w:t>P</w:t>
      </w:r>
      <w:proofErr w:type="gramEnd"/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left="1134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prohlídka na místě, konzultace s investorem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left="1134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příslušné ČSN, vyhlášky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left="1134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- projektová dokumentace kotle navrženého zařízení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left="1134"/>
        <w:jc w:val="both"/>
        <w:rPr>
          <w:sz w:val="24"/>
          <w:szCs w:val="24"/>
        </w:rPr>
      </w:pPr>
      <w:r w:rsidRPr="00C77570">
        <w:rPr>
          <w:sz w:val="24"/>
          <w:szCs w:val="24"/>
        </w:rPr>
        <w:lastRenderedPageBreak/>
        <w:t>- požární a hygienické předpisy</w:t>
      </w:r>
    </w:p>
    <w:p w:rsidR="00C77570" w:rsidRPr="00C77570" w:rsidRDefault="00C77570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i – Údaje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o podkladech pro vytýčení stavby, geodetický referenční polohový a výškový</w:t>
      </w:r>
      <w:r w:rsidR="00C77570">
        <w:rPr>
          <w:i/>
          <w:iCs/>
          <w:sz w:val="24"/>
          <w:szCs w:val="24"/>
          <w:u w:val="single"/>
        </w:rPr>
        <w:t xml:space="preserve"> </w:t>
      </w:r>
      <w:r w:rsidRPr="00C77570">
        <w:rPr>
          <w:i/>
          <w:iCs/>
          <w:sz w:val="24"/>
          <w:szCs w:val="24"/>
          <w:u w:val="single"/>
        </w:rPr>
        <w:t>systém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Projektová dokumentace neřeší.</w:t>
      </w:r>
    </w:p>
    <w:p w:rsidR="00C04F2A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E93EF6" w:rsidRPr="00C77570" w:rsidRDefault="00E93EF6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j – Členění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stavby na jednotlivé stavební a inženýrské objekty a technologické provozní soubory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není členěna na další jednotlivé stavební nebo inženýrské objekty. Odpovídá členění dle vyhlášky č. 499/2006 Sb.</w:t>
      </w:r>
    </w:p>
    <w:p w:rsidR="00C04F2A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E93EF6" w:rsidRPr="00C77570" w:rsidRDefault="00E93EF6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k – Vliv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stavby na okolní pozemky a stavby, ochrana okolí stavby před negativními účinky</w:t>
      </w:r>
      <w:r w:rsidR="00E93EF6">
        <w:rPr>
          <w:i/>
          <w:iCs/>
          <w:sz w:val="24"/>
          <w:szCs w:val="24"/>
          <w:u w:val="single"/>
        </w:rPr>
        <w:t xml:space="preserve"> </w:t>
      </w:r>
      <w:r w:rsidRPr="00C77570">
        <w:rPr>
          <w:i/>
          <w:iCs/>
          <w:sz w:val="24"/>
          <w:szCs w:val="24"/>
          <w:u w:val="single"/>
        </w:rPr>
        <w:t>provádění stavby a po jejím dokončení, resp. jejich minimalizace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Stavba, resp. stavební úpravy v objektu a provoz nového vytápění s plynovými kotli nebude mít vliv na okolní pozemky a stavby.</w:t>
      </w:r>
    </w:p>
    <w:p w:rsidR="00C04F2A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E93EF6" w:rsidRPr="00C77570" w:rsidRDefault="00E93EF6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  <w:u w:val="single"/>
        </w:rPr>
      </w:pPr>
      <w:proofErr w:type="gramStart"/>
      <w:r w:rsidRPr="00C77570">
        <w:rPr>
          <w:i/>
          <w:iCs/>
          <w:sz w:val="24"/>
          <w:szCs w:val="24"/>
          <w:u w:val="single"/>
        </w:rPr>
        <w:t>1.</w:t>
      </w:r>
      <w:r w:rsidR="00930BDF" w:rsidRPr="00C77570">
        <w:rPr>
          <w:i/>
          <w:iCs/>
          <w:sz w:val="24"/>
          <w:szCs w:val="24"/>
          <w:u w:val="single"/>
        </w:rPr>
        <w:t>l – Způsob</w:t>
      </w:r>
      <w:proofErr w:type="gramEnd"/>
      <w:r w:rsidRPr="00C77570">
        <w:rPr>
          <w:i/>
          <w:iCs/>
          <w:sz w:val="24"/>
          <w:szCs w:val="24"/>
          <w:u w:val="single"/>
        </w:rPr>
        <w:t xml:space="preserve"> zajištění ochrany zdraví a bezpečnosti pracovníků</w:t>
      </w:r>
    </w:p>
    <w:p w:rsidR="00C04F2A" w:rsidRPr="00C77570" w:rsidRDefault="00C04F2A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324C5" w:rsidRPr="00C77570" w:rsidRDefault="00C04F2A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Při vlastní stavbě musí být dodrženy podmínky vyhlášky č. 48/1992 Sb., kterou se stanoví základní požadavky k zajištění bezpečnosti práce a technických zařízení. V oblasti způsobilosti pracovníků a jejich vybavení (odborná a zdravotní způsobilost, proškolení, </w:t>
      </w:r>
      <w:r w:rsidR="00930BDF" w:rsidRPr="00C77570">
        <w:rPr>
          <w:sz w:val="24"/>
          <w:szCs w:val="24"/>
        </w:rPr>
        <w:t>OOPP,</w:t>
      </w:r>
      <w:r w:rsidRPr="00C77570">
        <w:rPr>
          <w:sz w:val="24"/>
          <w:szCs w:val="24"/>
        </w:rPr>
        <w:t xml:space="preserve"> atd.), požadavky na staveniště (ohrazení, oplocení, udržování pracovních ploch a přístupových komunikací, osvětlení, podchodné výšky 2,1 m, manipulační šířky pro pěší 0,75 m, zajištění otvorů a jam, použití žebříků, skladování </w:t>
      </w:r>
      <w:proofErr w:type="gramStart"/>
      <w:r w:rsidRPr="00C77570">
        <w:rPr>
          <w:sz w:val="24"/>
          <w:szCs w:val="24"/>
        </w:rPr>
        <w:t>materiálů</w:t>
      </w:r>
      <w:r w:rsidR="000C307B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a pod.).</w:t>
      </w:r>
      <w:proofErr w:type="gramEnd"/>
      <w:r w:rsidRPr="00C77570">
        <w:rPr>
          <w:sz w:val="24"/>
          <w:szCs w:val="24"/>
        </w:rPr>
        <w:t xml:space="preserve"> Dále požadavky na BOZP při zemních pracích (práce v ochranném pásmu elektrických a jiných nebezpečných podpovrchových vedení, zajištění stability stěn, výkopů apod.), betonářských pracích, zednických pracích, pracích ve výškách a nad volnou hloubkou a pracích v mimořádných výškách.</w:t>
      </w:r>
    </w:p>
    <w:p w:rsidR="00D324C5" w:rsidRDefault="00D324C5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</w:p>
    <w:p w:rsidR="00E93EF6" w:rsidRPr="00C77570" w:rsidRDefault="00E93EF6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2. Mechanická odolnost a stabilita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Každá stavba musí splňovat řadu základních požadavků, které jsou stanoveny zákonem č. 22/1997 Sb. o technických požadavcích na výrobky a nařízením vlády č. 163/2002 Sb., kterým se stanoví technické požadavky na vybrané stavební výrobky. Nové konstrukční díly a prvky, které splňují výše zmíněné požadavky a jsou podložené certifikáty výrobců. Uspořádaná soustava navzájem propojených dílů a prvků je navržená tak, aby zajišťovala mechanickou odolnost a stabilitu stavby jako celku vůči vnějším zatížením, kterým jsou zatížení stálá, nahodilá (užitná, klimatická) a mimořádná (náraz, výbuch, požární zatížení).</w:t>
      </w:r>
    </w:p>
    <w:p w:rsidR="00D4582D" w:rsidRDefault="00D4582D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E93EF6" w:rsidRPr="00C77570" w:rsidRDefault="00E93EF6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3. Požární bezpečnost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Cílem tohoto požárně bezpečnostního řešení je stanovení požadavků požární bezpečnosti objektu. Více viz </w:t>
      </w:r>
      <w:proofErr w:type="gramStart"/>
      <w:r w:rsidRPr="00C77570">
        <w:rPr>
          <w:sz w:val="24"/>
          <w:szCs w:val="24"/>
        </w:rPr>
        <w:t>část</w:t>
      </w:r>
      <w:r w:rsidR="0019109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„D</w:t>
      </w:r>
      <w:r w:rsidR="004E6AC9">
        <w:rPr>
          <w:sz w:val="24"/>
          <w:szCs w:val="24"/>
        </w:rPr>
        <w:t>.</w:t>
      </w:r>
      <w:r w:rsidRPr="00C77570">
        <w:rPr>
          <w:sz w:val="24"/>
          <w:szCs w:val="24"/>
        </w:rPr>
        <w:t>1.3</w:t>
      </w:r>
      <w:proofErr w:type="gramEnd"/>
      <w:r w:rsidRPr="00C77570">
        <w:rPr>
          <w:sz w:val="24"/>
          <w:szCs w:val="24"/>
        </w:rPr>
        <w:t xml:space="preserve"> Požárně bezpečnostní řešení</w:t>
      </w:r>
      <w:r w:rsidR="004E6AC9">
        <w:rPr>
          <w:sz w:val="24"/>
          <w:szCs w:val="24"/>
        </w:rPr>
        <w:t xml:space="preserve"> stavby</w:t>
      </w:r>
      <w:r w:rsidRPr="00C77570">
        <w:rPr>
          <w:sz w:val="24"/>
          <w:szCs w:val="24"/>
        </w:rPr>
        <w:t>“. Vyhodnocení, spolu se stanovením požadavků požární bezpečnosti staveb je provedeno v souladu s vyhláškou č. 268/2009 Sb., o technických požadavcích na stavby a podle ČSN 73 0802, ČSN 73 0804, ČSN 73 0873 a dalších navazujících norem.</w:t>
      </w:r>
    </w:p>
    <w:p w:rsidR="00D4582D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E93EF6" w:rsidRDefault="00E93EF6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E93EF6" w:rsidRDefault="00E93EF6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0E6BD5" w:rsidRPr="00C77570" w:rsidRDefault="000E6BD5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Zpráva „Požárně technického řešení“ – ve svém zpracování řeší: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062DF7">
      <w:pPr>
        <w:numPr>
          <w:ilvl w:val="1"/>
          <w:numId w:val="34"/>
        </w:numPr>
        <w:autoSpaceDE w:val="0"/>
        <w:autoSpaceDN w:val="0"/>
        <w:adjustRightInd w:val="0"/>
        <w:spacing w:before="80" w:line="260" w:lineRule="exact"/>
        <w:ind w:left="1134" w:hanging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Požární bezpečnost, rozdělení do požárních úseků, požární zatížení a stupeň bezpečnosti požárního úseku</w:t>
      </w:r>
    </w:p>
    <w:p w:rsidR="00D4582D" w:rsidRPr="00C77570" w:rsidRDefault="00D4582D" w:rsidP="00062DF7">
      <w:pPr>
        <w:numPr>
          <w:ilvl w:val="1"/>
          <w:numId w:val="34"/>
        </w:numPr>
        <w:autoSpaceDE w:val="0"/>
        <w:autoSpaceDN w:val="0"/>
        <w:adjustRightInd w:val="0"/>
        <w:spacing w:before="80" w:line="260" w:lineRule="exact"/>
        <w:ind w:left="1134" w:hanging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Stavební konstrukce – požárně dělící konstrukce, nosné konstrukce a další měněné</w:t>
      </w:r>
    </w:p>
    <w:p w:rsidR="00D4582D" w:rsidRPr="00C77570" w:rsidRDefault="00D4582D" w:rsidP="00062DF7">
      <w:pPr>
        <w:numPr>
          <w:ilvl w:val="1"/>
          <w:numId w:val="34"/>
        </w:numPr>
        <w:autoSpaceDE w:val="0"/>
        <w:autoSpaceDN w:val="0"/>
        <w:adjustRightInd w:val="0"/>
        <w:spacing w:before="80" w:line="260" w:lineRule="exact"/>
        <w:ind w:left="1134" w:hanging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konstrukce, konstrukce chráněných únikových cest</w:t>
      </w:r>
    </w:p>
    <w:p w:rsidR="00D4582D" w:rsidRPr="00C77570" w:rsidRDefault="00D4582D" w:rsidP="00062DF7">
      <w:pPr>
        <w:numPr>
          <w:ilvl w:val="1"/>
          <w:numId w:val="34"/>
        </w:numPr>
        <w:autoSpaceDE w:val="0"/>
        <w:autoSpaceDN w:val="0"/>
        <w:adjustRightInd w:val="0"/>
        <w:spacing w:before="80" w:line="260" w:lineRule="exact"/>
        <w:ind w:left="1134" w:hanging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Únikové cesty</w:t>
      </w:r>
    </w:p>
    <w:p w:rsidR="00D4582D" w:rsidRPr="00C77570" w:rsidRDefault="00D4582D" w:rsidP="00062DF7">
      <w:pPr>
        <w:numPr>
          <w:ilvl w:val="1"/>
          <w:numId w:val="34"/>
        </w:numPr>
        <w:autoSpaceDE w:val="0"/>
        <w:autoSpaceDN w:val="0"/>
        <w:adjustRightInd w:val="0"/>
        <w:spacing w:before="80" w:line="260" w:lineRule="exact"/>
        <w:ind w:left="1134" w:hanging="567"/>
        <w:jc w:val="both"/>
        <w:rPr>
          <w:sz w:val="24"/>
          <w:szCs w:val="24"/>
        </w:rPr>
      </w:pPr>
      <w:proofErr w:type="spellStart"/>
      <w:r w:rsidRPr="00C77570">
        <w:rPr>
          <w:sz w:val="24"/>
          <w:szCs w:val="24"/>
        </w:rPr>
        <w:t>Odstupové</w:t>
      </w:r>
      <w:proofErr w:type="spellEnd"/>
      <w:r w:rsidRPr="00C77570">
        <w:rPr>
          <w:sz w:val="24"/>
          <w:szCs w:val="24"/>
        </w:rPr>
        <w:t xml:space="preserve"> vzdálenosti</w:t>
      </w:r>
    </w:p>
    <w:p w:rsidR="00D4582D" w:rsidRPr="00C77570" w:rsidRDefault="00D4582D" w:rsidP="00062DF7">
      <w:pPr>
        <w:numPr>
          <w:ilvl w:val="1"/>
          <w:numId w:val="34"/>
        </w:numPr>
        <w:autoSpaceDE w:val="0"/>
        <w:autoSpaceDN w:val="0"/>
        <w:adjustRightInd w:val="0"/>
        <w:spacing w:before="80" w:line="260" w:lineRule="exact"/>
        <w:ind w:left="1134" w:hanging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Technické prostředky požární ochrany – příjezdy a přístupy, zásobování vodou, přenosné </w:t>
      </w:r>
      <w:proofErr w:type="gramStart"/>
      <w:r w:rsidRPr="00C77570">
        <w:rPr>
          <w:sz w:val="24"/>
          <w:szCs w:val="24"/>
        </w:rPr>
        <w:t>hasící</w:t>
      </w:r>
      <w:proofErr w:type="gramEnd"/>
      <w:r w:rsidRPr="00C77570">
        <w:rPr>
          <w:sz w:val="24"/>
          <w:szCs w:val="24"/>
        </w:rPr>
        <w:t xml:space="preserve"> přístroje, bezpečnostní tabulky a značky, opatření k zajištění bezpečnosti osob, provádějících hašení požáru a záchranné práce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ind w:left="1068"/>
        <w:jc w:val="both"/>
        <w:rPr>
          <w:sz w:val="24"/>
          <w:szCs w:val="24"/>
        </w:rPr>
      </w:pPr>
    </w:p>
    <w:p w:rsidR="00D4582D" w:rsidRPr="00C77570" w:rsidRDefault="00D4582D" w:rsidP="00062DF7">
      <w:pPr>
        <w:autoSpaceDE w:val="0"/>
        <w:autoSpaceDN w:val="0"/>
        <w:adjustRightInd w:val="0"/>
        <w:spacing w:before="120"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4. Hygiena, ochrana zdraví a životního prostředí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324C5" w:rsidRPr="00C77570" w:rsidRDefault="00D4582D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je navržena takovým způsobem, že nebude ohrožovat hygienu nebo zdraví uživatelů ani sousedů, zejména v důsledku uvolňování toxických plynů, emisí nebezpečného záření, výskytu vlhkosti v částech stavby atd. Použité stavební materiály jsou certifikované výrobci a splňují požadavky uvedené v zákoně č. 22/1997 Sb. – o technických požadavcích na výrobky. Dodržením požadavků na hygienické prostory a prostory pro osobní hygienu dle ČSN 73 4301, jsou dodrženy požadavky na ochranu zdraví a životní prostředí</w:t>
      </w:r>
    </w:p>
    <w:p w:rsidR="00D324C5" w:rsidRPr="00C77570" w:rsidRDefault="00D324C5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062DF7">
      <w:pPr>
        <w:autoSpaceDE w:val="0"/>
        <w:autoSpaceDN w:val="0"/>
        <w:adjustRightInd w:val="0"/>
        <w:spacing w:before="120"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5. Bezpečnost při užívání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Stavba je navržena dle obecných požadavků na výstavbu obsažených ve vyhlášce č. 268/2009 Sb. Veškeré konstrukce a jejich části jsou navržené tak, aby byl splněn základní požadavek na bezpečnost při užívání stavby. Návrh je soustředěn na minimalizování rizika bezprostředního fyzického poškození zdraví vznikajícího z různých důvodů. Tato rizika se v zásadě týkají uklouznutí, pádů, nárazů, popálení, zásahu elektrickým proudem, výbuchů, nehod způsobených pohybujícími se </w:t>
      </w:r>
      <w:r w:rsidR="00191090" w:rsidRPr="00C77570">
        <w:rPr>
          <w:sz w:val="24"/>
          <w:szCs w:val="24"/>
        </w:rPr>
        <w:t>vozidly</w:t>
      </w:r>
      <w:r w:rsidRPr="00C77570">
        <w:rPr>
          <w:sz w:val="24"/>
          <w:szCs w:val="24"/>
        </w:rPr>
        <w:t xml:space="preserve"> atd.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Stavbu je možno považovat za bezpečnou za následujících předpokladů: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D4582D" w:rsidRPr="00C77570" w:rsidRDefault="00D4582D" w:rsidP="00062DF7">
      <w:pPr>
        <w:numPr>
          <w:ilvl w:val="0"/>
          <w:numId w:val="36"/>
        </w:numPr>
        <w:autoSpaceDE w:val="0"/>
        <w:autoSpaceDN w:val="0"/>
        <w:adjustRightInd w:val="0"/>
        <w:spacing w:before="80" w:line="260" w:lineRule="exact"/>
        <w:ind w:left="714" w:hanging="35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pokud bude provedena v souladu s touto projektovou dokumentací</w:t>
      </w:r>
    </w:p>
    <w:p w:rsidR="00D4582D" w:rsidRPr="00C77570" w:rsidRDefault="00D4582D" w:rsidP="00062DF7">
      <w:pPr>
        <w:numPr>
          <w:ilvl w:val="0"/>
          <w:numId w:val="36"/>
        </w:numPr>
        <w:autoSpaceDE w:val="0"/>
        <w:autoSpaceDN w:val="0"/>
        <w:adjustRightInd w:val="0"/>
        <w:spacing w:before="80" w:line="260" w:lineRule="exact"/>
        <w:ind w:left="714" w:hanging="35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budou použity materiály, stavební postupy a technologické předpisy dle platných</w:t>
      </w:r>
    </w:p>
    <w:p w:rsidR="00D4582D" w:rsidRPr="00C77570" w:rsidRDefault="00D4582D" w:rsidP="00062DF7">
      <w:pPr>
        <w:numPr>
          <w:ilvl w:val="0"/>
          <w:numId w:val="36"/>
        </w:numPr>
        <w:autoSpaceDE w:val="0"/>
        <w:autoSpaceDN w:val="0"/>
        <w:adjustRightInd w:val="0"/>
        <w:spacing w:before="80" w:line="260" w:lineRule="exact"/>
        <w:ind w:left="714" w:hanging="35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právních norem</w:t>
      </w:r>
    </w:p>
    <w:p w:rsidR="00D4582D" w:rsidRPr="00C77570" w:rsidRDefault="00D4582D" w:rsidP="00062DF7">
      <w:pPr>
        <w:numPr>
          <w:ilvl w:val="0"/>
          <w:numId w:val="36"/>
        </w:numPr>
        <w:autoSpaceDE w:val="0"/>
        <w:autoSpaceDN w:val="0"/>
        <w:adjustRightInd w:val="0"/>
        <w:spacing w:before="80" w:line="260" w:lineRule="exact"/>
        <w:ind w:left="714" w:hanging="35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stavba bude užívána v souladu s</w:t>
      </w:r>
      <w:r w:rsidR="000C307B" w:rsidRPr="00C77570">
        <w:rPr>
          <w:sz w:val="24"/>
          <w:szCs w:val="24"/>
        </w:rPr>
        <w:t xml:space="preserve"> </w:t>
      </w:r>
      <w:proofErr w:type="gramStart"/>
      <w:r w:rsidRPr="00C77570">
        <w:rPr>
          <w:sz w:val="24"/>
          <w:szCs w:val="24"/>
        </w:rPr>
        <w:t>účelem pro</w:t>
      </w:r>
      <w:proofErr w:type="gramEnd"/>
      <w:r w:rsidRPr="00C77570">
        <w:rPr>
          <w:sz w:val="24"/>
          <w:szCs w:val="24"/>
        </w:rPr>
        <w:t xml:space="preserve"> který byla zřízena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4582D" w:rsidRPr="00C77570" w:rsidRDefault="00D4582D" w:rsidP="00062DF7">
      <w:pPr>
        <w:autoSpaceDE w:val="0"/>
        <w:autoSpaceDN w:val="0"/>
        <w:adjustRightInd w:val="0"/>
        <w:spacing w:before="120"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6. Ochrana proti hluku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Nutné stavební úpravy jsou pouze pro </w:t>
      </w:r>
      <w:r w:rsidR="000C307B" w:rsidRPr="00C77570">
        <w:rPr>
          <w:sz w:val="24"/>
          <w:szCs w:val="24"/>
        </w:rPr>
        <w:t>utěsnění a zahlazení stávajících</w:t>
      </w:r>
      <w:r w:rsidRPr="00C77570">
        <w:rPr>
          <w:sz w:val="24"/>
          <w:szCs w:val="24"/>
        </w:rPr>
        <w:t xml:space="preserve"> prostupů stávajícími konstrukcemi pro nová teplovodní potrubí a rozvody vody. Pozemek sousedí s obytnou zónou. Návrh akustických opatření zajistí nepřekročení nejvyšší přípustné ekvivalentní hladiny akustického hluku době:</w:t>
      </w:r>
    </w:p>
    <w:p w:rsidR="00D4582D" w:rsidRPr="00C77570" w:rsidRDefault="00D4582D" w:rsidP="00E93EF6">
      <w:pPr>
        <w:autoSpaceDE w:val="0"/>
        <w:autoSpaceDN w:val="0"/>
        <w:adjustRightInd w:val="0"/>
        <w:spacing w:before="120"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6 </w:t>
      </w:r>
      <w:r w:rsidR="00191090" w:rsidRPr="00C77570">
        <w:rPr>
          <w:sz w:val="24"/>
          <w:szCs w:val="24"/>
        </w:rPr>
        <w:t>-</w:t>
      </w:r>
      <w:r w:rsidRPr="00C77570">
        <w:rPr>
          <w:sz w:val="24"/>
          <w:szCs w:val="24"/>
        </w:rPr>
        <w:t xml:space="preserve"> 22 </w:t>
      </w:r>
      <w:proofErr w:type="gramStart"/>
      <w:r w:rsidRPr="00C77570">
        <w:rPr>
          <w:sz w:val="24"/>
          <w:szCs w:val="24"/>
        </w:rPr>
        <w:t>hod . . . . . . . . . . . . . . . . .</w:t>
      </w:r>
      <w:r w:rsidR="0019109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50</w:t>
      </w:r>
      <w:proofErr w:type="gramEnd"/>
      <w:r w:rsidRPr="00C77570">
        <w:rPr>
          <w:sz w:val="24"/>
          <w:szCs w:val="24"/>
        </w:rPr>
        <w:t xml:space="preserve"> dB (A)</w:t>
      </w:r>
    </w:p>
    <w:p w:rsidR="00D4582D" w:rsidRPr="00C77570" w:rsidRDefault="00D4582D" w:rsidP="00E93EF6">
      <w:pPr>
        <w:autoSpaceDE w:val="0"/>
        <w:autoSpaceDN w:val="0"/>
        <w:adjustRightInd w:val="0"/>
        <w:spacing w:before="60"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22 - 6 </w:t>
      </w:r>
      <w:proofErr w:type="gramStart"/>
      <w:r w:rsidRPr="00C77570">
        <w:rPr>
          <w:sz w:val="24"/>
          <w:szCs w:val="24"/>
        </w:rPr>
        <w:t>hod . . . . . . . . . . . . . . . . . 40</w:t>
      </w:r>
      <w:proofErr w:type="gramEnd"/>
      <w:r w:rsidRPr="00C77570">
        <w:rPr>
          <w:sz w:val="24"/>
          <w:szCs w:val="24"/>
        </w:rPr>
        <w:t xml:space="preserve"> d</w:t>
      </w:r>
      <w:r w:rsidR="00191090" w:rsidRPr="00C77570">
        <w:rPr>
          <w:sz w:val="24"/>
          <w:szCs w:val="24"/>
        </w:rPr>
        <w:t>B</w:t>
      </w:r>
      <w:r w:rsidRPr="00C77570">
        <w:rPr>
          <w:sz w:val="24"/>
          <w:szCs w:val="24"/>
        </w:rPr>
        <w:t xml:space="preserve"> (A)</w:t>
      </w:r>
    </w:p>
    <w:p w:rsidR="00D4582D" w:rsidRPr="00C77570" w:rsidRDefault="00D4582D" w:rsidP="00E93EF6">
      <w:pPr>
        <w:autoSpaceDE w:val="0"/>
        <w:autoSpaceDN w:val="0"/>
        <w:adjustRightInd w:val="0"/>
        <w:spacing w:before="120"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Stavební práce v nočních hodinách nebudou prováděny.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4582D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062DF7" w:rsidRPr="00C77570" w:rsidRDefault="00062DF7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7. Úspora energie, spotřeba plynu</w:t>
      </w:r>
    </w:p>
    <w:p w:rsidR="00A9686B" w:rsidRPr="00C77570" w:rsidRDefault="00A9686B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C77570" w:rsidRPr="00C77570" w:rsidRDefault="00C77570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Výkon plynové kotelny byl navržen dle podkladů projektanta vytápění (projektová dokumentace výměny teplovodních těles a svislých stoupacích rozvodů).</w:t>
      </w:r>
    </w:p>
    <w:p w:rsidR="00D4582D" w:rsidRDefault="00C77570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Je navržena plynová kotelna o výkonu 400 kW (teplotní spád 50/30°C).</w:t>
      </w:r>
    </w:p>
    <w:p w:rsidR="00AD3DD1" w:rsidRPr="00C77570" w:rsidRDefault="00AD3DD1" w:rsidP="00C77570">
      <w:pPr>
        <w:autoSpaceDE w:val="0"/>
        <w:autoSpaceDN w:val="0"/>
        <w:adjustRightInd w:val="0"/>
        <w:spacing w:line="260" w:lineRule="exact"/>
        <w:ind w:firstLine="708"/>
        <w:jc w:val="both"/>
        <w:rPr>
          <w:sz w:val="24"/>
          <w:szCs w:val="24"/>
        </w:rPr>
      </w:pPr>
    </w:p>
    <w:p w:rsidR="00C77570" w:rsidRPr="00C77570" w:rsidRDefault="00C77570" w:rsidP="004E6AC9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Maximální hodinová spotřeba plynu činí: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proofErr w:type="spellStart"/>
      <w:r w:rsidRPr="00C77570">
        <w:rPr>
          <w:sz w:val="24"/>
          <w:szCs w:val="24"/>
        </w:rPr>
        <w:t>Qhod</w:t>
      </w:r>
      <w:proofErr w:type="spellEnd"/>
      <w:r w:rsidRPr="00C77570">
        <w:rPr>
          <w:sz w:val="24"/>
          <w:szCs w:val="24"/>
        </w:rPr>
        <w:t xml:space="preserve"> = 40,0 m3/hod</w:t>
      </w:r>
    </w:p>
    <w:p w:rsidR="00C77570" w:rsidRPr="00C77570" w:rsidRDefault="00C77570" w:rsidP="004E6AC9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Minimální hodinová spotřeba plynu činí: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proofErr w:type="spellStart"/>
      <w:r w:rsidRPr="00C77570">
        <w:rPr>
          <w:sz w:val="24"/>
          <w:szCs w:val="24"/>
        </w:rPr>
        <w:t>Qhod</w:t>
      </w:r>
      <w:proofErr w:type="spellEnd"/>
      <w:r w:rsidRPr="00C77570">
        <w:rPr>
          <w:sz w:val="24"/>
          <w:szCs w:val="24"/>
        </w:rPr>
        <w:t xml:space="preserve"> = 4,8 m3/hod</w:t>
      </w:r>
    </w:p>
    <w:p w:rsidR="00C77570" w:rsidRPr="00C77570" w:rsidRDefault="00C77570" w:rsidP="004E6AC9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Roční teoretická spotřeba plynu pro vytápění: </w:t>
      </w:r>
      <w:r w:rsidRPr="00C77570">
        <w:rPr>
          <w:sz w:val="24"/>
          <w:szCs w:val="24"/>
        </w:rPr>
        <w:tab/>
      </w:r>
      <w:r w:rsidRPr="00C77570">
        <w:rPr>
          <w:sz w:val="24"/>
          <w:szCs w:val="24"/>
        </w:rPr>
        <w:tab/>
      </w:r>
      <w:proofErr w:type="spellStart"/>
      <w:r w:rsidRPr="00C77570">
        <w:rPr>
          <w:sz w:val="24"/>
          <w:szCs w:val="24"/>
        </w:rPr>
        <w:t>Qrok</w:t>
      </w:r>
      <w:proofErr w:type="spellEnd"/>
      <w:r w:rsidRPr="00C77570">
        <w:rPr>
          <w:sz w:val="24"/>
          <w:szCs w:val="24"/>
        </w:rPr>
        <w:t xml:space="preserve"> = 58500 Nm3/rok</w:t>
      </w: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</w:p>
    <w:p w:rsidR="00D4582D" w:rsidRPr="00C77570" w:rsidRDefault="00D4582D" w:rsidP="00C77570">
      <w:pPr>
        <w:autoSpaceDE w:val="0"/>
        <w:autoSpaceDN w:val="0"/>
        <w:adjustRightInd w:val="0"/>
        <w:spacing w:line="260" w:lineRule="exact"/>
        <w:jc w:val="both"/>
        <w:rPr>
          <w:i/>
          <w:iCs/>
          <w:sz w:val="24"/>
          <w:szCs w:val="24"/>
        </w:rPr>
      </w:pPr>
      <w:r w:rsidRPr="00C77570">
        <w:rPr>
          <w:i/>
          <w:iCs/>
          <w:sz w:val="24"/>
          <w:szCs w:val="24"/>
        </w:rPr>
        <w:t>(poznámka: roční spotřeba plynu je závislá na způsobu vytápění, na použití vhodné regulace</w:t>
      </w:r>
    </w:p>
    <w:p w:rsidR="00D324C5" w:rsidRPr="00C77570" w:rsidRDefault="00D4582D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  <w:r w:rsidRPr="00C77570">
        <w:rPr>
          <w:i/>
          <w:iCs/>
          <w:sz w:val="24"/>
          <w:szCs w:val="24"/>
        </w:rPr>
        <w:t>plynového kotle, spotřebě teplé vody, skutečné venkovní teplotě v zimním období)</w:t>
      </w:r>
    </w:p>
    <w:p w:rsidR="00D324C5" w:rsidRPr="00C77570" w:rsidRDefault="00D324C5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8. Řešení přístupu a užívání stavby osobami s omezenou schopností pohybu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a orientace, údaje o splnění požadavků na bezbariérové řešení stavby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Projektová dokumentace neřeší.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9. Ochrana stavby před škodlivými vlivy vnějšího prostředí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Nevyžaduje se další zvláštní ochrana před škodlivými vlivy ani ochrana proti proniku radonu</w:t>
      </w:r>
      <w:r w:rsidR="0019109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z podloží.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10. Ochrana obyvatelstva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Nové plynové teplovodní kotle budou vybaveny veškerými bezpečnostními a havarijními prvky,</w:t>
      </w:r>
      <w:r w:rsidR="0019109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které umožní bezpečný a bezporuchový provoz.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11. Inženýrské stavby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ind w:firstLine="567"/>
        <w:jc w:val="both"/>
        <w:rPr>
          <w:sz w:val="24"/>
          <w:szCs w:val="24"/>
        </w:rPr>
      </w:pPr>
      <w:r w:rsidRPr="00C77570">
        <w:rPr>
          <w:sz w:val="24"/>
          <w:szCs w:val="24"/>
        </w:rPr>
        <w:t>Odvodnění území, zásobování vodou, zásobování energiemi, řešení dopravy atd. tato projektová</w:t>
      </w:r>
      <w:r w:rsidR="00191090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dokumentace neřeší. Napojeno na stávající rozvody v objektu.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sz w:val="24"/>
          <w:szCs w:val="24"/>
        </w:rPr>
      </w:pP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  <w:r w:rsidRPr="00C77570">
        <w:rPr>
          <w:b/>
          <w:bCs/>
          <w:sz w:val="24"/>
          <w:szCs w:val="24"/>
        </w:rPr>
        <w:t>12. Výrobní a nevýrobní technologická zařízení staveb</w:t>
      </w:r>
    </w:p>
    <w:p w:rsidR="006A684E" w:rsidRPr="00C77570" w:rsidRDefault="006A684E" w:rsidP="00C77570">
      <w:pPr>
        <w:autoSpaceDE w:val="0"/>
        <w:autoSpaceDN w:val="0"/>
        <w:adjustRightInd w:val="0"/>
        <w:spacing w:line="260" w:lineRule="exact"/>
        <w:jc w:val="both"/>
        <w:rPr>
          <w:b/>
          <w:bCs/>
          <w:sz w:val="24"/>
          <w:szCs w:val="24"/>
        </w:rPr>
      </w:pPr>
    </w:p>
    <w:p w:rsidR="00D324C5" w:rsidRPr="00C77570" w:rsidRDefault="006A684E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 xml:space="preserve">Stávající objekt </w:t>
      </w:r>
      <w:r w:rsidR="00C77570" w:rsidRPr="00C77570">
        <w:rPr>
          <w:sz w:val="24"/>
          <w:szCs w:val="24"/>
        </w:rPr>
        <w:t xml:space="preserve">Křižíkova 552/2 v Praze </w:t>
      </w:r>
      <w:r w:rsidRPr="00C77570">
        <w:rPr>
          <w:sz w:val="24"/>
          <w:szCs w:val="24"/>
        </w:rPr>
        <w:t>zůstává stávající bez úprav.</w:t>
      </w:r>
    </w:p>
    <w:p w:rsidR="0014531A" w:rsidRPr="00C77570" w:rsidRDefault="0014531A" w:rsidP="00C77570">
      <w:pPr>
        <w:tabs>
          <w:tab w:val="left" w:pos="567"/>
        </w:tabs>
        <w:spacing w:line="260" w:lineRule="exact"/>
        <w:jc w:val="both"/>
        <w:rPr>
          <w:b/>
          <w:sz w:val="24"/>
          <w:szCs w:val="24"/>
        </w:rPr>
      </w:pPr>
    </w:p>
    <w:p w:rsidR="00184727" w:rsidRPr="00C77570" w:rsidRDefault="006A684E" w:rsidP="00C77570">
      <w:pPr>
        <w:tabs>
          <w:tab w:val="left" w:pos="567"/>
        </w:tabs>
        <w:spacing w:line="260" w:lineRule="exact"/>
        <w:jc w:val="both"/>
        <w:rPr>
          <w:b/>
          <w:sz w:val="24"/>
          <w:szCs w:val="24"/>
        </w:rPr>
      </w:pPr>
      <w:r w:rsidRPr="00C77570">
        <w:rPr>
          <w:b/>
          <w:sz w:val="24"/>
          <w:szCs w:val="24"/>
        </w:rPr>
        <w:t>13</w:t>
      </w:r>
      <w:r w:rsidR="00D324C5" w:rsidRPr="00C77570">
        <w:rPr>
          <w:b/>
          <w:sz w:val="24"/>
          <w:szCs w:val="24"/>
        </w:rPr>
        <w:t>.</w:t>
      </w:r>
      <w:r w:rsidRPr="00C77570">
        <w:rPr>
          <w:b/>
          <w:sz w:val="24"/>
          <w:szCs w:val="24"/>
        </w:rPr>
        <w:t xml:space="preserve"> </w:t>
      </w:r>
      <w:r w:rsidR="00184727" w:rsidRPr="00C77570">
        <w:rPr>
          <w:b/>
          <w:sz w:val="24"/>
          <w:szCs w:val="24"/>
        </w:rPr>
        <w:t>Požadavky na následné stupně projektové dokumentace</w:t>
      </w:r>
    </w:p>
    <w:p w:rsidR="006A684E" w:rsidRPr="00C77570" w:rsidRDefault="006A684E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</w:p>
    <w:p w:rsidR="003B3686" w:rsidRPr="00C77570" w:rsidRDefault="00184727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ab/>
        <w:t>Zpracování skutečného provedení</w:t>
      </w:r>
      <w:r w:rsidR="00832AEA" w:rsidRPr="00C77570">
        <w:rPr>
          <w:sz w:val="24"/>
          <w:szCs w:val="24"/>
        </w:rPr>
        <w:t xml:space="preserve"> </w:t>
      </w:r>
      <w:r w:rsidRPr="00C77570">
        <w:rPr>
          <w:sz w:val="24"/>
          <w:szCs w:val="24"/>
        </w:rPr>
        <w:t>(bude</w:t>
      </w:r>
      <w:r w:rsidR="003B3686" w:rsidRPr="00C77570">
        <w:rPr>
          <w:sz w:val="24"/>
          <w:szCs w:val="24"/>
        </w:rPr>
        <w:t xml:space="preserve"> součástí dodávky zhotovitele). </w:t>
      </w:r>
    </w:p>
    <w:p w:rsidR="0014531A" w:rsidRPr="00C77570" w:rsidRDefault="0014531A" w:rsidP="00C77570">
      <w:pPr>
        <w:tabs>
          <w:tab w:val="left" w:pos="567"/>
        </w:tabs>
        <w:spacing w:line="260" w:lineRule="exact"/>
        <w:jc w:val="both"/>
        <w:rPr>
          <w:b/>
          <w:sz w:val="24"/>
          <w:szCs w:val="24"/>
        </w:rPr>
      </w:pPr>
    </w:p>
    <w:p w:rsidR="003B3686" w:rsidRPr="00C77570" w:rsidRDefault="006A684E" w:rsidP="00C77570">
      <w:pPr>
        <w:tabs>
          <w:tab w:val="left" w:pos="567"/>
        </w:tabs>
        <w:spacing w:line="260" w:lineRule="exact"/>
        <w:jc w:val="both"/>
        <w:rPr>
          <w:sz w:val="24"/>
          <w:szCs w:val="24"/>
        </w:rPr>
      </w:pPr>
      <w:r w:rsidRPr="00C77570">
        <w:rPr>
          <w:b/>
          <w:sz w:val="24"/>
          <w:szCs w:val="24"/>
        </w:rPr>
        <w:t>14</w:t>
      </w:r>
      <w:r w:rsidR="003B3686" w:rsidRPr="00C77570">
        <w:rPr>
          <w:b/>
          <w:sz w:val="24"/>
          <w:szCs w:val="24"/>
        </w:rPr>
        <w:t>.   Závěr</w:t>
      </w:r>
    </w:p>
    <w:p w:rsidR="00184727" w:rsidRPr="00C77570" w:rsidRDefault="003B3686" w:rsidP="00975AE7">
      <w:pPr>
        <w:tabs>
          <w:tab w:val="left" w:pos="567"/>
        </w:tabs>
        <w:spacing w:before="120" w:line="260" w:lineRule="exact"/>
        <w:jc w:val="both"/>
        <w:rPr>
          <w:sz w:val="24"/>
          <w:szCs w:val="24"/>
        </w:rPr>
      </w:pPr>
      <w:r w:rsidRPr="00C77570">
        <w:rPr>
          <w:sz w:val="24"/>
          <w:szCs w:val="24"/>
        </w:rPr>
        <w:tab/>
        <w:t xml:space="preserve">Během provádění </w:t>
      </w:r>
      <w:r w:rsidR="00A45B7B" w:rsidRPr="00C77570">
        <w:rPr>
          <w:sz w:val="24"/>
          <w:szCs w:val="24"/>
        </w:rPr>
        <w:t xml:space="preserve">technologických a </w:t>
      </w:r>
      <w:r w:rsidRPr="00C77570">
        <w:rPr>
          <w:sz w:val="24"/>
          <w:szCs w:val="24"/>
        </w:rPr>
        <w:t>stavebních prací n</w:t>
      </w:r>
      <w:r w:rsidR="00A45B7B" w:rsidRPr="00C77570">
        <w:rPr>
          <w:sz w:val="24"/>
          <w:szCs w:val="24"/>
        </w:rPr>
        <w:t>esmí dojít k narušení stávající</w:t>
      </w:r>
      <w:r w:rsidRPr="00C77570">
        <w:rPr>
          <w:sz w:val="24"/>
          <w:szCs w:val="24"/>
        </w:rPr>
        <w:t>h</w:t>
      </w:r>
      <w:r w:rsidR="00A45B7B" w:rsidRPr="00C77570">
        <w:rPr>
          <w:sz w:val="24"/>
          <w:szCs w:val="24"/>
        </w:rPr>
        <w:t>o</w:t>
      </w:r>
      <w:r w:rsidRPr="00C77570">
        <w:rPr>
          <w:sz w:val="24"/>
          <w:szCs w:val="24"/>
        </w:rPr>
        <w:t xml:space="preserve"> technického vybavení</w:t>
      </w:r>
      <w:r w:rsidR="00A45B7B" w:rsidRPr="00C77570">
        <w:rPr>
          <w:sz w:val="24"/>
          <w:szCs w:val="24"/>
        </w:rPr>
        <w:t>, které zůstane funkční i po rekonstrukci</w:t>
      </w:r>
      <w:r w:rsidRPr="00C77570">
        <w:rPr>
          <w:sz w:val="24"/>
          <w:szCs w:val="24"/>
        </w:rPr>
        <w:t xml:space="preserve">. </w:t>
      </w:r>
    </w:p>
    <w:p w:rsidR="003B3686" w:rsidRDefault="003B3686" w:rsidP="003B3686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:rsidR="00075E34" w:rsidRDefault="00075E34" w:rsidP="003B3686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:rsidR="007A0D8F" w:rsidRDefault="007A0D8F" w:rsidP="003B3686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</w:p>
    <w:p w:rsidR="00452331" w:rsidRDefault="00452331" w:rsidP="00452331">
      <w:pPr>
        <w:tabs>
          <w:tab w:val="left" w:pos="2520"/>
        </w:tabs>
        <w:spacing w:line="360" w:lineRule="auto"/>
        <w:rPr>
          <w:sz w:val="24"/>
        </w:rPr>
      </w:pPr>
      <w:bookmarkStart w:id="2" w:name="_Hlk485574157"/>
      <w:r>
        <w:rPr>
          <w:sz w:val="24"/>
        </w:rPr>
        <w:t xml:space="preserve">Vypracoval: Ing. Václav </w:t>
      </w:r>
      <w:proofErr w:type="spellStart"/>
      <w:r>
        <w:rPr>
          <w:sz w:val="24"/>
        </w:rPr>
        <w:t>Remuta</w:t>
      </w:r>
      <w:proofErr w:type="spellEnd"/>
    </w:p>
    <w:p w:rsidR="00075E34" w:rsidRDefault="0014531A" w:rsidP="00E93EF6">
      <w:pPr>
        <w:tabs>
          <w:tab w:val="left" w:pos="2520"/>
        </w:tabs>
        <w:spacing w:line="360" w:lineRule="auto"/>
        <w:rPr>
          <w:sz w:val="24"/>
          <w:szCs w:val="24"/>
        </w:rPr>
      </w:pPr>
      <w:r>
        <w:rPr>
          <w:sz w:val="24"/>
        </w:rPr>
        <w:t>Most</w:t>
      </w:r>
      <w:r w:rsidR="00452331">
        <w:rPr>
          <w:sz w:val="24"/>
        </w:rPr>
        <w:t xml:space="preserve">, </w:t>
      </w:r>
      <w:r w:rsidR="00C77570">
        <w:rPr>
          <w:sz w:val="24"/>
        </w:rPr>
        <w:t>březen 2019</w:t>
      </w:r>
      <w:bookmarkEnd w:id="2"/>
    </w:p>
    <w:sectPr w:rsidR="00075E34" w:rsidSect="003B3686">
      <w:headerReference w:type="default" r:id="rId9"/>
      <w:footerReference w:type="even" r:id="rId10"/>
      <w:footerReference w:type="default" r:id="rId11"/>
      <w:pgSz w:w="11907" w:h="16840" w:code="9"/>
      <w:pgMar w:top="1418" w:right="1418" w:bottom="851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38C" w:rsidRDefault="00CC238C">
      <w:r>
        <w:separator/>
      </w:r>
    </w:p>
  </w:endnote>
  <w:endnote w:type="continuationSeparator" w:id="0">
    <w:p w:rsidR="00CC238C" w:rsidRDefault="00CC2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AE" w:rsidRDefault="00395FA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95FAE" w:rsidRDefault="00395F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AE" w:rsidRDefault="00395FAE">
    <w:pPr>
      <w:pStyle w:val="Zpat"/>
      <w:framePr w:wrap="around" w:vAnchor="text" w:hAnchor="margin" w:xAlign="center" w:y="1"/>
      <w:rPr>
        <w:rStyle w:val="slostrnky"/>
      </w:rPr>
    </w:pPr>
  </w:p>
  <w:p w:rsidR="00395FAE" w:rsidRDefault="00395F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38C" w:rsidRDefault="00CC238C">
      <w:r>
        <w:separator/>
      </w:r>
    </w:p>
  </w:footnote>
  <w:footnote w:type="continuationSeparator" w:id="0">
    <w:p w:rsidR="00CC238C" w:rsidRDefault="00CC2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FAE" w:rsidRDefault="00395FAE" w:rsidP="003B3686">
    <w:pPr>
      <w:pStyle w:val="Zhlav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9417A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39417A">
      <w:rPr>
        <w:rStyle w:val="slostrnky"/>
        <w:noProof/>
      </w:rPr>
      <w:t>7</w:t>
    </w:r>
    <w:r>
      <w:rPr>
        <w:rStyle w:val="slostrnky"/>
      </w:rPr>
      <w:fldChar w:fldCharType="end"/>
    </w:r>
  </w:p>
  <w:p w:rsidR="009D0226" w:rsidRDefault="004E6AC9" w:rsidP="007F5D13">
    <w:pPr>
      <w:pStyle w:val="Zhlav"/>
      <w:jc w:val="right"/>
      <w:rPr>
        <w:rStyle w:val="slostrnky"/>
      </w:rPr>
    </w:pPr>
    <w:r>
      <w:rPr>
        <w:rStyle w:val="slostrnky"/>
      </w:rPr>
      <w:t>Modernizace</w:t>
    </w:r>
    <w:r w:rsidR="009D0226" w:rsidRPr="000555A9">
      <w:rPr>
        <w:rStyle w:val="slostrnky"/>
      </w:rPr>
      <w:t xml:space="preserve"> kotelny v</w:t>
    </w:r>
    <w:r w:rsidR="009D0226">
      <w:rPr>
        <w:rStyle w:val="slostrnky"/>
      </w:rPr>
      <w:t xml:space="preserve"> objektu Křižíkova 552/2, Praha </w:t>
    </w:r>
  </w:p>
  <w:p w:rsidR="00395FAE" w:rsidRDefault="009D0226" w:rsidP="007F5D13">
    <w:pPr>
      <w:pStyle w:val="Zhlav"/>
      <w:jc w:val="right"/>
    </w:pPr>
    <w:proofErr w:type="gramStart"/>
    <w:r>
      <w:rPr>
        <w:rStyle w:val="slostrnky"/>
      </w:rPr>
      <w:t>486.</w:t>
    </w:r>
    <w:r w:rsidR="00AE36D1">
      <w:rPr>
        <w:rStyle w:val="slostrnky"/>
      </w:rPr>
      <w:t>B</w:t>
    </w:r>
    <w:r w:rsidR="00395FAE">
      <w:rPr>
        <w:rStyle w:val="slostrnky"/>
      </w:rPr>
      <w:t xml:space="preserve"> -</w:t>
    </w:r>
    <w:r w:rsidR="00395FAE">
      <w:t xml:space="preserve"> Souhrnná</w:t>
    </w:r>
    <w:proofErr w:type="gramEnd"/>
    <w:r w:rsidR="00395FAE">
      <w:t xml:space="preserve"> technická zpráva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FAB"/>
    <w:multiLevelType w:val="hybridMultilevel"/>
    <w:tmpl w:val="6D5E1ADC"/>
    <w:lvl w:ilvl="0" w:tplc="A998CEBE">
      <w:start w:val="1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C194A"/>
    <w:multiLevelType w:val="hybridMultilevel"/>
    <w:tmpl w:val="5BE622A0"/>
    <w:lvl w:ilvl="0" w:tplc="2A72AC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41243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72DE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A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38C8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D85C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A6CF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B8B6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5A269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5D6DA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0E4764AB"/>
    <w:multiLevelType w:val="hybridMultilevel"/>
    <w:tmpl w:val="9B581854"/>
    <w:lvl w:ilvl="0" w:tplc="E3909938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</w:lvl>
    <w:lvl w:ilvl="1" w:tplc="7316962E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CF60217C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F5403DEE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510CB980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1396D010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7114B0AA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E4867280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D02292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4">
    <w:nsid w:val="175724E6"/>
    <w:multiLevelType w:val="hybridMultilevel"/>
    <w:tmpl w:val="A0CEA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F1460"/>
    <w:multiLevelType w:val="hybridMultilevel"/>
    <w:tmpl w:val="E1E250CA"/>
    <w:lvl w:ilvl="0" w:tplc="A998CEBE">
      <w:start w:val="1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EC19B8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EAD196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21980034"/>
    <w:multiLevelType w:val="hybridMultilevel"/>
    <w:tmpl w:val="47D068A8"/>
    <w:lvl w:ilvl="0" w:tplc="DB0617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BC481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547B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ECF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5215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E95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701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32E5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66FF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5007D0"/>
    <w:multiLevelType w:val="singleLevel"/>
    <w:tmpl w:val="AEB01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27EE7FA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C9E5B5E"/>
    <w:multiLevelType w:val="hybridMultilevel"/>
    <w:tmpl w:val="823CB1B6"/>
    <w:lvl w:ilvl="0" w:tplc="3C9CBF6C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28743A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FA27F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56CF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A2D5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289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8E04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5C01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F44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B42CEB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3367408C"/>
    <w:multiLevelType w:val="hybridMultilevel"/>
    <w:tmpl w:val="12D0FCF4"/>
    <w:lvl w:ilvl="0" w:tplc="47BEC60A">
      <w:numFmt w:val="bullet"/>
      <w:lvlText w:val="-"/>
      <w:lvlJc w:val="left"/>
      <w:pPr>
        <w:tabs>
          <w:tab w:val="num" w:pos="3586"/>
        </w:tabs>
        <w:ind w:left="3586" w:hanging="360"/>
      </w:pPr>
      <w:rPr>
        <w:rFonts w:ascii="Times New Roman" w:eastAsia="Times New Roman" w:hAnsi="Times New Roman" w:cs="Times New Roman" w:hint="default"/>
      </w:rPr>
    </w:lvl>
    <w:lvl w:ilvl="1" w:tplc="EE327C10" w:tentative="1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hint="default"/>
      </w:rPr>
    </w:lvl>
    <w:lvl w:ilvl="2" w:tplc="F956D9EC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BC689112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DBD61B76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BDA86A5C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CEECB7DE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3C78432E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9F1468EC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14">
    <w:nsid w:val="37447C51"/>
    <w:multiLevelType w:val="hybridMultilevel"/>
    <w:tmpl w:val="F5D47228"/>
    <w:lvl w:ilvl="0" w:tplc="0C0A3EE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CDB4C46"/>
    <w:multiLevelType w:val="hybridMultilevel"/>
    <w:tmpl w:val="990CC704"/>
    <w:lvl w:ilvl="0" w:tplc="E4E6E7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E9604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4C66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D8E7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AE83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2CE0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B0A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D87D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F667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2C572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40385F41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47A12803"/>
    <w:multiLevelType w:val="hybridMultilevel"/>
    <w:tmpl w:val="63A4E252"/>
    <w:lvl w:ilvl="0" w:tplc="7A64F20C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663ED6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045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30FC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D209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8FC46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4EA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C2C0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6649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A368BC"/>
    <w:multiLevelType w:val="hybridMultilevel"/>
    <w:tmpl w:val="784A299A"/>
    <w:lvl w:ilvl="0" w:tplc="A998CEBE">
      <w:start w:val="12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387D1C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50B157BF"/>
    <w:multiLevelType w:val="hybridMultilevel"/>
    <w:tmpl w:val="36501522"/>
    <w:lvl w:ilvl="0" w:tplc="7B94785A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A094D0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6CCA4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B239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0E10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92647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F461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644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46B8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D12B0F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51A55FA8"/>
    <w:multiLevelType w:val="hybridMultilevel"/>
    <w:tmpl w:val="FF88CCF6"/>
    <w:lvl w:ilvl="0" w:tplc="52004624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Bookman Old Style" w:eastAsia="Times New Roman" w:hAnsi="Bookman Old Style" w:cs="Times New Roman" w:hint="default"/>
      </w:rPr>
    </w:lvl>
    <w:lvl w:ilvl="1" w:tplc="5C86F54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EA5ED6E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50A0E1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34E00D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3E890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8B4DA5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FF4C0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2824FD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3652317"/>
    <w:multiLevelType w:val="hybridMultilevel"/>
    <w:tmpl w:val="A1FE0186"/>
    <w:lvl w:ilvl="0" w:tplc="08F2AA3A">
      <w:start w:val="1"/>
      <w:numFmt w:val="bullet"/>
      <w:lvlText w:val=""/>
      <w:lvlJc w:val="left"/>
      <w:pPr>
        <w:tabs>
          <w:tab w:val="num" w:pos="1426"/>
        </w:tabs>
        <w:ind w:left="1426" w:hanging="360"/>
      </w:pPr>
      <w:rPr>
        <w:rFonts w:ascii="Wingdings" w:hAnsi="Wingdings" w:hint="default"/>
      </w:rPr>
    </w:lvl>
    <w:lvl w:ilvl="1" w:tplc="18CC880A">
      <w:start w:val="1"/>
      <w:numFmt w:val="bullet"/>
      <w:lvlText w:val="-"/>
      <w:lvlJc w:val="left"/>
      <w:pPr>
        <w:tabs>
          <w:tab w:val="num" w:pos="2146"/>
        </w:tabs>
        <w:ind w:left="2146" w:hanging="360"/>
      </w:pPr>
      <w:rPr>
        <w:rFonts w:ascii="Times New Roman" w:eastAsia="Times New Roman" w:hAnsi="Times New Roman" w:cs="Times New Roman" w:hint="default"/>
      </w:rPr>
    </w:lvl>
    <w:lvl w:ilvl="2" w:tplc="63FADA6A" w:tentative="1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A7AAD3D8" w:tentative="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B3569F50" w:tentative="1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5F86FD18" w:tentative="1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367240B8" w:tentative="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2362E638" w:tentative="1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8D64B64E" w:tentative="1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25">
    <w:nsid w:val="56635B16"/>
    <w:multiLevelType w:val="hybridMultilevel"/>
    <w:tmpl w:val="DA7E9408"/>
    <w:lvl w:ilvl="0" w:tplc="F0B029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28296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36D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AC18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68C6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1CC2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DCE2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2E4F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5AA3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6D02744"/>
    <w:multiLevelType w:val="hybridMultilevel"/>
    <w:tmpl w:val="80A0EF06"/>
    <w:lvl w:ilvl="0" w:tplc="FD1820D2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737CC422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DF7ACC6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4E70A830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BD12043A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A8788C3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8A4CF0D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EDE03BB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C5C2281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7">
    <w:nsid w:val="581A22CA"/>
    <w:multiLevelType w:val="hybridMultilevel"/>
    <w:tmpl w:val="D5640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5A12F5"/>
    <w:multiLevelType w:val="singleLevel"/>
    <w:tmpl w:val="80CED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8"/>
        <w:szCs w:val="28"/>
      </w:rPr>
    </w:lvl>
  </w:abstractNum>
  <w:abstractNum w:abstractNumId="29">
    <w:nsid w:val="631F69C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5D2633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67B13D1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</w:abstractNum>
  <w:abstractNum w:abstractNumId="32">
    <w:nsid w:val="69623129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6A650317"/>
    <w:multiLevelType w:val="hybridMultilevel"/>
    <w:tmpl w:val="4C388EBC"/>
    <w:lvl w:ilvl="0" w:tplc="7C5AEE5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Bookman Old Style" w:eastAsia="Times New Roman" w:hAnsi="Bookman Old Style" w:cs="Times New Roman" w:hint="default"/>
      </w:rPr>
    </w:lvl>
    <w:lvl w:ilvl="1" w:tplc="4C34BD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08DB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064F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92F5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72BF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FE46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901C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DE53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41344AC"/>
    <w:multiLevelType w:val="hybridMultilevel"/>
    <w:tmpl w:val="6544801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8D3D0E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6"/>
  </w:num>
  <w:num w:numId="3">
    <w:abstractNumId w:val="25"/>
  </w:num>
  <w:num w:numId="4">
    <w:abstractNumId w:val="10"/>
  </w:num>
  <w:num w:numId="5">
    <w:abstractNumId w:val="6"/>
  </w:num>
  <w:num w:numId="6">
    <w:abstractNumId w:val="32"/>
  </w:num>
  <w:num w:numId="7">
    <w:abstractNumId w:val="29"/>
  </w:num>
  <w:num w:numId="8">
    <w:abstractNumId w:val="20"/>
  </w:num>
  <w:num w:numId="9">
    <w:abstractNumId w:val="9"/>
  </w:num>
  <w:num w:numId="10">
    <w:abstractNumId w:val="28"/>
  </w:num>
  <w:num w:numId="11">
    <w:abstractNumId w:val="31"/>
  </w:num>
  <w:num w:numId="12">
    <w:abstractNumId w:val="2"/>
  </w:num>
  <w:num w:numId="13">
    <w:abstractNumId w:val="16"/>
  </w:num>
  <w:num w:numId="14">
    <w:abstractNumId w:val="22"/>
  </w:num>
  <w:num w:numId="15">
    <w:abstractNumId w:val="12"/>
  </w:num>
  <w:num w:numId="16">
    <w:abstractNumId w:val="30"/>
  </w:num>
  <w:num w:numId="17">
    <w:abstractNumId w:val="17"/>
  </w:num>
  <w:num w:numId="18">
    <w:abstractNumId w:val="7"/>
  </w:num>
  <w:num w:numId="19">
    <w:abstractNumId w:val="35"/>
  </w:num>
  <w:num w:numId="20">
    <w:abstractNumId w:val="23"/>
  </w:num>
  <w:num w:numId="21">
    <w:abstractNumId w:val="11"/>
  </w:num>
  <w:num w:numId="22">
    <w:abstractNumId w:val="21"/>
  </w:num>
  <w:num w:numId="23">
    <w:abstractNumId w:val="33"/>
  </w:num>
  <w:num w:numId="24">
    <w:abstractNumId w:val="24"/>
  </w:num>
  <w:num w:numId="25">
    <w:abstractNumId w:val="8"/>
  </w:num>
  <w:num w:numId="26">
    <w:abstractNumId w:val="13"/>
  </w:num>
  <w:num w:numId="27">
    <w:abstractNumId w:val="15"/>
  </w:num>
  <w:num w:numId="28">
    <w:abstractNumId w:val="18"/>
  </w:num>
  <w:num w:numId="29">
    <w:abstractNumId w:val="3"/>
  </w:num>
  <w:num w:numId="30">
    <w:abstractNumId w:val="4"/>
  </w:num>
  <w:num w:numId="31">
    <w:abstractNumId w:val="14"/>
  </w:num>
  <w:num w:numId="32">
    <w:abstractNumId w:val="27"/>
  </w:num>
  <w:num w:numId="33">
    <w:abstractNumId w:val="5"/>
  </w:num>
  <w:num w:numId="34">
    <w:abstractNumId w:val="19"/>
  </w:num>
  <w:num w:numId="35">
    <w:abstractNumId w:val="0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A8"/>
    <w:rsid w:val="00007627"/>
    <w:rsid w:val="000163F9"/>
    <w:rsid w:val="00032468"/>
    <w:rsid w:val="00051292"/>
    <w:rsid w:val="00062DF7"/>
    <w:rsid w:val="00073B6E"/>
    <w:rsid w:val="00075E34"/>
    <w:rsid w:val="00081B06"/>
    <w:rsid w:val="000A0D76"/>
    <w:rsid w:val="000B1743"/>
    <w:rsid w:val="000B348C"/>
    <w:rsid w:val="000C307B"/>
    <w:rsid w:val="000D792C"/>
    <w:rsid w:val="000E0934"/>
    <w:rsid w:val="000E6BD5"/>
    <w:rsid w:val="00141BB6"/>
    <w:rsid w:val="0014531A"/>
    <w:rsid w:val="00150155"/>
    <w:rsid w:val="001553A6"/>
    <w:rsid w:val="00184727"/>
    <w:rsid w:val="00191090"/>
    <w:rsid w:val="001A1F1C"/>
    <w:rsid w:val="001A61F4"/>
    <w:rsid w:val="001C5F70"/>
    <w:rsid w:val="001D792C"/>
    <w:rsid w:val="001F3C1C"/>
    <w:rsid w:val="001F4763"/>
    <w:rsid w:val="00200B08"/>
    <w:rsid w:val="00217E2C"/>
    <w:rsid w:val="00240FDA"/>
    <w:rsid w:val="00253C0C"/>
    <w:rsid w:val="00261F26"/>
    <w:rsid w:val="002B71FA"/>
    <w:rsid w:val="002D5DD0"/>
    <w:rsid w:val="002F17DD"/>
    <w:rsid w:val="0030653E"/>
    <w:rsid w:val="00317D54"/>
    <w:rsid w:val="00366E2E"/>
    <w:rsid w:val="0037560D"/>
    <w:rsid w:val="00376E3D"/>
    <w:rsid w:val="00382737"/>
    <w:rsid w:val="0039417A"/>
    <w:rsid w:val="00395FAE"/>
    <w:rsid w:val="003A46E0"/>
    <w:rsid w:val="003B3686"/>
    <w:rsid w:val="003F0D0E"/>
    <w:rsid w:val="0041280A"/>
    <w:rsid w:val="004171F1"/>
    <w:rsid w:val="0045018A"/>
    <w:rsid w:val="00452331"/>
    <w:rsid w:val="00467B1E"/>
    <w:rsid w:val="00486641"/>
    <w:rsid w:val="00494885"/>
    <w:rsid w:val="004B0B5B"/>
    <w:rsid w:val="004D677F"/>
    <w:rsid w:val="004E224B"/>
    <w:rsid w:val="004E6AC9"/>
    <w:rsid w:val="004F1340"/>
    <w:rsid w:val="004F6CEE"/>
    <w:rsid w:val="00514414"/>
    <w:rsid w:val="00517C1E"/>
    <w:rsid w:val="00522729"/>
    <w:rsid w:val="00553B52"/>
    <w:rsid w:val="005D1645"/>
    <w:rsid w:val="005E4F7D"/>
    <w:rsid w:val="006035A0"/>
    <w:rsid w:val="00604E66"/>
    <w:rsid w:val="00635659"/>
    <w:rsid w:val="00653B1C"/>
    <w:rsid w:val="00667BAB"/>
    <w:rsid w:val="006A35D8"/>
    <w:rsid w:val="006A684E"/>
    <w:rsid w:val="006C393E"/>
    <w:rsid w:val="006C6D2F"/>
    <w:rsid w:val="006E2EC1"/>
    <w:rsid w:val="006E7DCB"/>
    <w:rsid w:val="006F0C77"/>
    <w:rsid w:val="007230BE"/>
    <w:rsid w:val="00735FD4"/>
    <w:rsid w:val="0075493A"/>
    <w:rsid w:val="00785554"/>
    <w:rsid w:val="007A0D8F"/>
    <w:rsid w:val="007B2CFC"/>
    <w:rsid w:val="007C26B4"/>
    <w:rsid w:val="007F0D1A"/>
    <w:rsid w:val="007F5D13"/>
    <w:rsid w:val="007F656F"/>
    <w:rsid w:val="008020E8"/>
    <w:rsid w:val="00804E16"/>
    <w:rsid w:val="00831196"/>
    <w:rsid w:val="00832A8D"/>
    <w:rsid w:val="00832AEA"/>
    <w:rsid w:val="0086334E"/>
    <w:rsid w:val="00864950"/>
    <w:rsid w:val="00876DF4"/>
    <w:rsid w:val="00884903"/>
    <w:rsid w:val="008E4CB7"/>
    <w:rsid w:val="008F390E"/>
    <w:rsid w:val="008F5086"/>
    <w:rsid w:val="00901252"/>
    <w:rsid w:val="00905C5C"/>
    <w:rsid w:val="00906E23"/>
    <w:rsid w:val="009114AF"/>
    <w:rsid w:val="00923C78"/>
    <w:rsid w:val="00930BDF"/>
    <w:rsid w:val="00936B5A"/>
    <w:rsid w:val="0094081B"/>
    <w:rsid w:val="00955899"/>
    <w:rsid w:val="00963EE8"/>
    <w:rsid w:val="00966108"/>
    <w:rsid w:val="00975AE7"/>
    <w:rsid w:val="009B1C0D"/>
    <w:rsid w:val="009B2615"/>
    <w:rsid w:val="009D0226"/>
    <w:rsid w:val="009E1E99"/>
    <w:rsid w:val="00A115FA"/>
    <w:rsid w:val="00A134C9"/>
    <w:rsid w:val="00A34F4E"/>
    <w:rsid w:val="00A45B7B"/>
    <w:rsid w:val="00A742C7"/>
    <w:rsid w:val="00A83E76"/>
    <w:rsid w:val="00A9686B"/>
    <w:rsid w:val="00AA6CB9"/>
    <w:rsid w:val="00AC6589"/>
    <w:rsid w:val="00AD3DD1"/>
    <w:rsid w:val="00AE36D1"/>
    <w:rsid w:val="00AF470B"/>
    <w:rsid w:val="00B0378A"/>
    <w:rsid w:val="00B47B69"/>
    <w:rsid w:val="00B82836"/>
    <w:rsid w:val="00B909F6"/>
    <w:rsid w:val="00BB22A8"/>
    <w:rsid w:val="00BE5751"/>
    <w:rsid w:val="00C04F2A"/>
    <w:rsid w:val="00C237B3"/>
    <w:rsid w:val="00C23B54"/>
    <w:rsid w:val="00C46A24"/>
    <w:rsid w:val="00C51EE6"/>
    <w:rsid w:val="00C77570"/>
    <w:rsid w:val="00C83B4F"/>
    <w:rsid w:val="00C9089E"/>
    <w:rsid w:val="00C96297"/>
    <w:rsid w:val="00CA49D5"/>
    <w:rsid w:val="00CC238C"/>
    <w:rsid w:val="00CF7033"/>
    <w:rsid w:val="00D02946"/>
    <w:rsid w:val="00D324C5"/>
    <w:rsid w:val="00D40EA8"/>
    <w:rsid w:val="00D414E2"/>
    <w:rsid w:val="00D4582D"/>
    <w:rsid w:val="00D74BA0"/>
    <w:rsid w:val="00D81B76"/>
    <w:rsid w:val="00D820EF"/>
    <w:rsid w:val="00D8384B"/>
    <w:rsid w:val="00D85399"/>
    <w:rsid w:val="00D85D90"/>
    <w:rsid w:val="00D9503D"/>
    <w:rsid w:val="00DA0199"/>
    <w:rsid w:val="00DA2BB3"/>
    <w:rsid w:val="00DB36B7"/>
    <w:rsid w:val="00DC03ED"/>
    <w:rsid w:val="00DC20B3"/>
    <w:rsid w:val="00DC2797"/>
    <w:rsid w:val="00DC3C21"/>
    <w:rsid w:val="00DE0274"/>
    <w:rsid w:val="00DE75DD"/>
    <w:rsid w:val="00DF71F9"/>
    <w:rsid w:val="00DF7487"/>
    <w:rsid w:val="00E061CB"/>
    <w:rsid w:val="00E11EFF"/>
    <w:rsid w:val="00E12113"/>
    <w:rsid w:val="00E407F9"/>
    <w:rsid w:val="00E57D88"/>
    <w:rsid w:val="00E86032"/>
    <w:rsid w:val="00E92851"/>
    <w:rsid w:val="00E93EF6"/>
    <w:rsid w:val="00E97572"/>
    <w:rsid w:val="00EC7350"/>
    <w:rsid w:val="00EF6A70"/>
    <w:rsid w:val="00F12AA6"/>
    <w:rsid w:val="00F358ED"/>
    <w:rsid w:val="00F42C4D"/>
    <w:rsid w:val="00F84EA7"/>
    <w:rsid w:val="00FA0626"/>
    <w:rsid w:val="00FB26DF"/>
    <w:rsid w:val="00FB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567"/>
        <w:tab w:val="left" w:pos="3969"/>
      </w:tabs>
      <w:spacing w:line="360" w:lineRule="auto"/>
      <w:ind w:firstLine="567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aps/>
      <w:sz w:val="36"/>
    </w:rPr>
  </w:style>
  <w:style w:type="paragraph" w:styleId="Nadpis7">
    <w:name w:val="heading 7"/>
    <w:basedOn w:val="Normln"/>
    <w:next w:val="Normln"/>
    <w:qFormat/>
    <w:pPr>
      <w:keepNext/>
      <w:tabs>
        <w:tab w:val="left" w:pos="567"/>
      </w:tabs>
      <w:spacing w:line="360" w:lineRule="auto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</w:tabs>
      <w:spacing w:line="360" w:lineRule="auto"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spacing w:line="360" w:lineRule="auto"/>
      <w:ind w:left="360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Zkladntextodsazen">
    <w:name w:val="Body Text Indent"/>
    <w:basedOn w:val="Normln"/>
    <w:pPr>
      <w:ind w:left="993" w:hanging="993"/>
    </w:pPr>
    <w:rPr>
      <w:sz w:val="28"/>
    </w:rPr>
  </w:style>
  <w:style w:type="paragraph" w:styleId="Zkladntextodsazen2">
    <w:name w:val="Body Text Indent 2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</w:pPr>
    <w:rPr>
      <w:sz w:val="24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BodyText21">
    <w:name w:val="Body Text 21"/>
    <w:basedOn w:val="Normln"/>
    <w:pPr>
      <w:widowControl w:val="0"/>
    </w:pPr>
    <w:rPr>
      <w:rFonts w:ascii="Arial" w:hAnsi="Arial"/>
      <w:b/>
      <w:sz w:val="24"/>
    </w:rPr>
  </w:style>
  <w:style w:type="paragraph" w:styleId="Zkladntext2">
    <w:name w:val="Body Text 2"/>
    <w:basedOn w:val="Normln"/>
    <w:pPr>
      <w:jc w:val="both"/>
    </w:pPr>
    <w:rPr>
      <w:b/>
      <w:bCs/>
      <w:sz w:val="28"/>
      <w:szCs w:val="24"/>
    </w:rPr>
  </w:style>
  <w:style w:type="paragraph" w:styleId="Zkladntext3">
    <w:name w:val="Body Text 3"/>
    <w:basedOn w:val="Normln"/>
    <w:pPr>
      <w:tabs>
        <w:tab w:val="left" w:pos="567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rsid w:val="003B3686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A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1B0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B0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tabs>
        <w:tab w:val="left" w:pos="567"/>
        <w:tab w:val="left" w:pos="3969"/>
      </w:tabs>
      <w:spacing w:line="360" w:lineRule="auto"/>
      <w:ind w:firstLine="567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aps/>
      <w:sz w:val="36"/>
    </w:rPr>
  </w:style>
  <w:style w:type="paragraph" w:styleId="Nadpis7">
    <w:name w:val="heading 7"/>
    <w:basedOn w:val="Normln"/>
    <w:next w:val="Normln"/>
    <w:qFormat/>
    <w:pPr>
      <w:keepNext/>
      <w:tabs>
        <w:tab w:val="left" w:pos="567"/>
      </w:tabs>
      <w:spacing w:line="360" w:lineRule="auto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</w:tabs>
      <w:spacing w:line="360" w:lineRule="auto"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spacing w:line="360" w:lineRule="auto"/>
      <w:ind w:left="360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sz w:val="24"/>
    </w:rPr>
  </w:style>
  <w:style w:type="paragraph" w:styleId="Zkladntextodsazen">
    <w:name w:val="Body Text Indent"/>
    <w:basedOn w:val="Normln"/>
    <w:pPr>
      <w:ind w:left="993" w:hanging="993"/>
    </w:pPr>
    <w:rPr>
      <w:sz w:val="28"/>
    </w:rPr>
  </w:style>
  <w:style w:type="paragraph" w:styleId="Zkladntextodsazen2">
    <w:name w:val="Body Text Indent 2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</w:pPr>
    <w:rPr>
      <w:sz w:val="24"/>
    </w:rPr>
  </w:style>
  <w:style w:type="paragraph" w:styleId="Zkladntextodsazen3">
    <w:name w:val="Body Text Indent 3"/>
    <w:basedOn w:val="Normln"/>
    <w:pPr>
      <w:tabs>
        <w:tab w:val="left" w:pos="567"/>
        <w:tab w:val="left" w:pos="2268"/>
        <w:tab w:val="left" w:pos="3969"/>
      </w:tabs>
      <w:spacing w:line="360" w:lineRule="auto"/>
      <w:ind w:left="567"/>
      <w:jc w:val="both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BodyText21">
    <w:name w:val="Body Text 21"/>
    <w:basedOn w:val="Normln"/>
    <w:pPr>
      <w:widowControl w:val="0"/>
    </w:pPr>
    <w:rPr>
      <w:rFonts w:ascii="Arial" w:hAnsi="Arial"/>
      <w:b/>
      <w:sz w:val="24"/>
    </w:rPr>
  </w:style>
  <w:style w:type="paragraph" w:styleId="Zkladntext2">
    <w:name w:val="Body Text 2"/>
    <w:basedOn w:val="Normln"/>
    <w:pPr>
      <w:jc w:val="both"/>
    </w:pPr>
    <w:rPr>
      <w:b/>
      <w:bCs/>
      <w:sz w:val="28"/>
      <w:szCs w:val="24"/>
    </w:rPr>
  </w:style>
  <w:style w:type="paragraph" w:styleId="Zkladntext3">
    <w:name w:val="Body Text 3"/>
    <w:basedOn w:val="Normln"/>
    <w:pPr>
      <w:tabs>
        <w:tab w:val="left" w:pos="567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rsid w:val="003B3686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3A4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81B0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B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DD81B-382B-41CF-8117-BAB0D5DD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2357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TERMONT</Company>
  <LinksUpToDate>false</LinksUpToDate>
  <CharactersWithSpaces>16234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Alena</dc:creator>
  <cp:keywords/>
  <cp:lastModifiedBy>Zachová Tereza, Ing.</cp:lastModifiedBy>
  <cp:revision>6</cp:revision>
  <cp:lastPrinted>2019-05-06T07:33:00Z</cp:lastPrinted>
  <dcterms:created xsi:type="dcterms:W3CDTF">2019-04-10T22:12:00Z</dcterms:created>
  <dcterms:modified xsi:type="dcterms:W3CDTF">2019-05-06T07:33:00Z</dcterms:modified>
</cp:coreProperties>
</file>